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AHIP Responsible Use and Public Access Guide</w:t>
      </w:r>
    </w:p>
    <w:p>
      <w:pPr>
        <w:pStyle w:val="Subtitle"/>
      </w:pPr>
      <w:r>
        <w:t>Human-review controls, public-benefit release plan, versioning, and information boundaries</w:t>
      </w:r>
    </w:p>
    <w:p>
      <w:pPr>
        <w:spacing w:after="180"/>
      </w:pPr>
      <w:r>
        <w:t>Version 1.0 | July 2026 | Project Owner: Ms. Arshalouys Awediss</w:t>
      </w:r>
    </w:p>
    <w:tbl>
      <w:tblPr>
        <w:tblW w:type="auto" w:w="0"/>
        <w:jc w:val="center"/>
        <w:tblLayout w:type="fixed"/>
        <w:tblLook w:firstColumn="1" w:firstRow="1" w:lastColumn="0" w:lastRow="0" w:noHBand="0" w:noVBand="1" w:val="04A0"/>
      </w:tblPr>
      <w:tblGrid>
        <w:gridCol w:w="10282"/>
      </w:tblGrid>
      <w:tr>
        <w:trPr>
          <w:tblHeader w:val="true"/>
        </w:trPr>
        <w:tc>
          <w:tcPr>
            <w:tcW w:type="dxa" w:w="10282"/>
            <w:shd w:fill="EDF4FA"/>
            <w:tcBorders>
              <w:top w:val="single" w:sz="8" w:color="2F75B5"/>
              <w:left w:val="single" w:sz="8" w:color="2F75B5"/>
              <w:bottom w:val="single" w:sz="8" w:color="2F75B5"/>
              <w:right w:val="single" w:sz="8" w:color="2F75B5"/>
            </w:tcBorders>
            <w:tcMar>
              <w:top w:w="100" w:type="dxa"/>
              <w:start w:w="130" w:type="dxa"/>
              <w:bottom w:w="100" w:type="dxa"/>
              <w:end w:w="130" w:type="dxa"/>
            </w:tcMar>
          </w:tcPr>
          <w:p>
            <w:r/>
            <w:r>
              <w:rPr>
                <w:sz w:val="18"/>
              </w:rPr>
              <w:t>Purpose of this release</w:t>
              <w:br/>
              <w:t>This concise guide explains AHIP human-review controls, public access boundaries, versioning, and responsible-use rules. It does not claim government adoption, endorsement, partnership, or national deployment.</w:t>
            </w:r>
          </w:p>
        </w:tc>
      </w:tr>
    </w:tbl>
    <w:p>
      <w:pPr>
        <w:spacing w:after="0"/>
      </w:pPr>
    </w:p>
    <w:p>
      <w:pPr>
        <w:pStyle w:val="Heading1"/>
        <w:keepNext/>
      </w:pPr>
      <w:r>
        <w:t>1. What "AI-Enabled" Means in AHIP</w:t>
      </w:r>
    </w:p>
    <w:p>
      <w:r>
        <w:t>AI-enabled does not mean that AHIP makes decisions by itself. Selected computer-assisted methods may help identify patterns, create planning estimates, flag unusual data, or prepare draft summaries. Human review remains required before findings are communicated or used in high-impact decisions.</w:t>
      </w:r>
    </w:p>
    <w:p>
      <w:pPr>
        <w:pStyle w:val="Heading1"/>
        <w:keepNext/>
      </w:pPr>
      <w:r>
        <w:t>2. Human-Review Workflow</w:t>
      </w:r>
    </w:p>
    <w:tbl>
      <w:tblPr>
        <w:tblStyle w:val="TableGrid"/>
        <w:tblW w:type="auto" w:w="0"/>
        <w:jc w:val="center"/>
        <w:tblLayout w:type="fixed"/>
        <w:tblLook w:firstColumn="1" w:firstRow="1" w:lastColumn="0" w:lastRow="0" w:noHBand="0" w:noVBand="1" w:val="04A0"/>
      </w:tblPr>
      <w:tblGrid>
        <w:gridCol w:w="3427"/>
        <w:gridCol w:w="3427"/>
        <w:gridCol w:w="3427"/>
      </w:tblGrid>
      <w:tr>
        <w:trPr>
          <w:tblHeader w:val="true"/>
          <w:cantSplit/>
        </w:trPr>
        <w:tc>
          <w:tcPr>
            <w:tcW w:type="dxa" w:w="792"/>
            <w:shd w:fill="17365D"/>
            <w:tcMar>
              <w:top w:w="70" w:type="dxa"/>
              <w:start w:w="70" w:type="dxa"/>
              <w:bottom w:w="70" w:type="dxa"/>
              <w:end w:w="70" w:type="dxa"/>
            </w:tcMar>
            <w:vAlign w:val="center"/>
          </w:tcPr>
          <w:p>
            <w:pPr>
              <w:spacing w:after="0"/>
              <w:jc w:val="left"/>
            </w:pPr>
            <w:r>
              <w:rPr>
                <w:b/>
                <w:color w:val="FFFFFF"/>
                <w:sz w:val="17"/>
              </w:rPr>
              <w:t>Step</w:t>
            </w:r>
          </w:p>
        </w:tc>
        <w:tc>
          <w:tcPr>
            <w:tcW w:type="dxa" w:w="2304"/>
            <w:shd w:fill="17365D"/>
            <w:tcMar>
              <w:top w:w="70" w:type="dxa"/>
              <w:start w:w="70" w:type="dxa"/>
              <w:bottom w:w="70" w:type="dxa"/>
              <w:end w:w="70" w:type="dxa"/>
            </w:tcMar>
            <w:vAlign w:val="center"/>
          </w:tcPr>
          <w:p>
            <w:pPr>
              <w:spacing w:after="0"/>
              <w:jc w:val="left"/>
            </w:pPr>
            <w:r>
              <w:rPr>
                <w:b/>
                <w:color w:val="FFFFFF"/>
                <w:sz w:val="17"/>
              </w:rPr>
              <w:t>Control point</w:t>
            </w:r>
          </w:p>
        </w:tc>
        <w:tc>
          <w:tcPr>
            <w:tcW w:type="dxa" w:w="7272"/>
            <w:shd w:fill="17365D"/>
            <w:tcMar>
              <w:top w:w="70" w:type="dxa"/>
              <w:start w:w="70" w:type="dxa"/>
              <w:bottom w:w="70" w:type="dxa"/>
              <w:end w:w="70" w:type="dxa"/>
            </w:tcMar>
            <w:vAlign w:val="center"/>
          </w:tcPr>
          <w:p>
            <w:pPr>
              <w:spacing w:after="0"/>
              <w:jc w:val="left"/>
            </w:pPr>
            <w:r>
              <w:rPr>
                <w:b/>
                <w:color w:val="FFFFFF"/>
                <w:sz w:val="17"/>
              </w:rPr>
              <w:t>Required action</w:t>
            </w:r>
          </w:p>
        </w:tc>
      </w:tr>
      <w:tr>
        <w:trPr>
          <w:cantSplit/>
        </w:trPr>
        <w:tc>
          <w:tcPr>
            <w:tcW w:type="dxa" w:w="792"/>
            <w:tcMar>
              <w:top w:w="60" w:type="dxa"/>
              <w:start w:w="70" w:type="dxa"/>
              <w:bottom w:w="60" w:type="dxa"/>
              <w:end w:w="70" w:type="dxa"/>
            </w:tcMar>
            <w:vAlign w:val="top"/>
          </w:tcPr>
          <w:p>
            <w:pPr>
              <w:spacing w:after="0" w:line="240" w:lineRule="auto"/>
            </w:pPr>
            <w:r>
              <w:rPr>
                <w:color w:val="222222"/>
                <w:sz w:val="17"/>
              </w:rPr>
              <w:t>1</w:t>
            </w:r>
          </w:p>
        </w:tc>
        <w:tc>
          <w:tcPr>
            <w:tcW w:type="dxa" w:w="2304"/>
            <w:tcMar>
              <w:top w:w="60" w:type="dxa"/>
              <w:start w:w="70" w:type="dxa"/>
              <w:bottom w:w="60" w:type="dxa"/>
              <w:end w:w="70" w:type="dxa"/>
            </w:tcMar>
            <w:vAlign w:val="top"/>
          </w:tcPr>
          <w:p>
            <w:pPr>
              <w:spacing w:after="0" w:line="240" w:lineRule="auto"/>
            </w:pPr>
            <w:r>
              <w:rPr>
                <w:color w:val="222222"/>
                <w:sz w:val="17"/>
              </w:rPr>
              <w:t>Evidence preparation</w:t>
            </w:r>
          </w:p>
        </w:tc>
        <w:tc>
          <w:tcPr>
            <w:tcW w:type="dxa" w:w="7272"/>
            <w:tcMar>
              <w:top w:w="60" w:type="dxa"/>
              <w:start w:w="70" w:type="dxa"/>
              <w:bottom w:w="60" w:type="dxa"/>
              <w:end w:w="70" w:type="dxa"/>
            </w:tcMar>
            <w:vAlign w:val="top"/>
          </w:tcPr>
          <w:p>
            <w:pPr>
              <w:spacing w:after="0" w:line="240" w:lineRule="auto"/>
            </w:pPr>
            <w:r>
              <w:rPr>
                <w:color w:val="222222"/>
                <w:sz w:val="17"/>
              </w:rPr>
              <w:t>Use approved source data, calculations, definitions, and limitations.</w:t>
            </w:r>
          </w:p>
        </w:tc>
      </w:tr>
      <w:tr>
        <w:trPr>
          <w:cantSplit/>
        </w:trPr>
        <w:tc>
          <w:tcPr>
            <w:tcW w:type="dxa" w:w="792"/>
            <w:tcMar>
              <w:top w:w="60" w:type="dxa"/>
              <w:start w:w="70" w:type="dxa"/>
              <w:bottom w:w="60" w:type="dxa"/>
              <w:end w:w="70" w:type="dxa"/>
            </w:tcMar>
            <w:vAlign w:val="top"/>
            <w:shd w:fill="F2F2F2"/>
          </w:tcPr>
          <w:p>
            <w:pPr>
              <w:spacing w:after="0" w:line="240" w:lineRule="auto"/>
            </w:pPr>
            <w:r>
              <w:rPr>
                <w:color w:val="222222"/>
                <w:sz w:val="17"/>
              </w:rPr>
              <w:t>2</w:t>
            </w:r>
          </w:p>
        </w:tc>
        <w:tc>
          <w:tcPr>
            <w:tcW w:type="dxa" w:w="2304"/>
            <w:tcMar>
              <w:top w:w="60" w:type="dxa"/>
              <w:start w:w="70" w:type="dxa"/>
              <w:bottom w:w="60" w:type="dxa"/>
              <w:end w:w="70" w:type="dxa"/>
            </w:tcMar>
            <w:vAlign w:val="top"/>
            <w:shd w:fill="F2F2F2"/>
          </w:tcPr>
          <w:p>
            <w:pPr>
              <w:spacing w:after="0" w:line="240" w:lineRule="auto"/>
            </w:pPr>
            <w:r>
              <w:rPr>
                <w:color w:val="222222"/>
                <w:sz w:val="17"/>
              </w:rPr>
              <w:t>Draft output</w:t>
            </w:r>
          </w:p>
        </w:tc>
        <w:tc>
          <w:tcPr>
            <w:tcW w:type="dxa" w:w="7272"/>
            <w:tcMar>
              <w:top w:w="60" w:type="dxa"/>
              <w:start w:w="70" w:type="dxa"/>
              <w:bottom w:w="60" w:type="dxa"/>
              <w:end w:w="70" w:type="dxa"/>
            </w:tcMar>
            <w:vAlign w:val="top"/>
            <w:shd w:fill="F2F2F2"/>
          </w:tcPr>
          <w:p>
            <w:pPr>
              <w:spacing w:after="0" w:line="240" w:lineRule="auto"/>
            </w:pPr>
            <w:r>
              <w:rPr>
                <w:color w:val="222222"/>
                <w:sz w:val="17"/>
              </w:rPr>
              <w:t>Create a dashboard insight, forecast, scenario, anomaly flag, or draft executive summary.</w:t>
            </w:r>
          </w:p>
        </w:tc>
      </w:tr>
      <w:tr>
        <w:trPr>
          <w:cantSplit/>
        </w:trPr>
        <w:tc>
          <w:tcPr>
            <w:tcW w:type="dxa" w:w="792"/>
            <w:tcMar>
              <w:top w:w="60" w:type="dxa"/>
              <w:start w:w="70" w:type="dxa"/>
              <w:bottom w:w="60" w:type="dxa"/>
              <w:end w:w="70" w:type="dxa"/>
            </w:tcMar>
            <w:vAlign w:val="top"/>
          </w:tcPr>
          <w:p>
            <w:pPr>
              <w:spacing w:after="0" w:line="240" w:lineRule="auto"/>
            </w:pPr>
            <w:r>
              <w:rPr>
                <w:color w:val="222222"/>
                <w:sz w:val="17"/>
              </w:rPr>
              <w:t>3</w:t>
            </w:r>
          </w:p>
        </w:tc>
        <w:tc>
          <w:tcPr>
            <w:tcW w:type="dxa" w:w="2304"/>
            <w:tcMar>
              <w:top w:w="60" w:type="dxa"/>
              <w:start w:w="70" w:type="dxa"/>
              <w:bottom w:w="60" w:type="dxa"/>
              <w:end w:w="70" w:type="dxa"/>
            </w:tcMar>
            <w:vAlign w:val="top"/>
          </w:tcPr>
          <w:p>
            <w:pPr>
              <w:spacing w:after="0" w:line="240" w:lineRule="auto"/>
            </w:pPr>
            <w:r>
              <w:rPr>
                <w:color w:val="222222"/>
                <w:sz w:val="17"/>
              </w:rPr>
              <w:t>Control check</w:t>
            </w:r>
          </w:p>
        </w:tc>
        <w:tc>
          <w:tcPr>
            <w:tcW w:type="dxa" w:w="7272"/>
            <w:tcMar>
              <w:top w:w="60" w:type="dxa"/>
              <w:start w:w="70" w:type="dxa"/>
              <w:bottom w:w="60" w:type="dxa"/>
              <w:end w:w="70" w:type="dxa"/>
            </w:tcMar>
            <w:vAlign w:val="top"/>
          </w:tcPr>
          <w:p>
            <w:pPr>
              <w:spacing w:after="0" w:line="240" w:lineRule="auto"/>
            </w:pPr>
            <w:r>
              <w:rPr>
                <w:color w:val="222222"/>
                <w:sz w:val="17"/>
              </w:rPr>
              <w:t>Confirm numbers, geography, period, evidence traceability, uncertainty, and required qualification language.</w:t>
            </w:r>
          </w:p>
        </w:tc>
      </w:tr>
      <w:tr>
        <w:trPr>
          <w:cantSplit/>
        </w:trPr>
        <w:tc>
          <w:tcPr>
            <w:tcW w:type="dxa" w:w="792"/>
            <w:tcMar>
              <w:top w:w="60" w:type="dxa"/>
              <w:start w:w="70" w:type="dxa"/>
              <w:bottom w:w="60" w:type="dxa"/>
              <w:end w:w="70" w:type="dxa"/>
            </w:tcMar>
            <w:vAlign w:val="top"/>
            <w:shd w:fill="F2F2F2"/>
          </w:tcPr>
          <w:p>
            <w:pPr>
              <w:spacing w:after="0" w:line="240" w:lineRule="auto"/>
            </w:pPr>
            <w:r>
              <w:rPr>
                <w:color w:val="222222"/>
                <w:sz w:val="17"/>
              </w:rPr>
              <w:t>4</w:t>
            </w:r>
          </w:p>
        </w:tc>
        <w:tc>
          <w:tcPr>
            <w:tcW w:type="dxa" w:w="2304"/>
            <w:tcMar>
              <w:top w:w="60" w:type="dxa"/>
              <w:start w:w="70" w:type="dxa"/>
              <w:bottom w:w="60" w:type="dxa"/>
              <w:end w:w="70" w:type="dxa"/>
            </w:tcMar>
            <w:vAlign w:val="top"/>
            <w:shd w:fill="F2F2F2"/>
          </w:tcPr>
          <w:p>
            <w:pPr>
              <w:spacing w:after="0" w:line="240" w:lineRule="auto"/>
            </w:pPr>
            <w:r>
              <w:rPr>
                <w:color w:val="222222"/>
                <w:sz w:val="17"/>
              </w:rPr>
              <w:t>Subject-matter review</w:t>
            </w:r>
          </w:p>
        </w:tc>
        <w:tc>
          <w:tcPr>
            <w:tcW w:type="dxa" w:w="7272"/>
            <w:tcMar>
              <w:top w:w="60" w:type="dxa"/>
              <w:start w:w="70" w:type="dxa"/>
              <w:bottom w:w="60" w:type="dxa"/>
              <w:end w:w="70" w:type="dxa"/>
            </w:tcMar>
            <w:vAlign w:val="top"/>
            <w:shd w:fill="F2F2F2"/>
          </w:tcPr>
          <w:p>
            <w:pPr>
              <w:spacing w:after="0" w:line="240" w:lineRule="auto"/>
            </w:pPr>
            <w:r>
              <w:rPr>
                <w:color w:val="222222"/>
                <w:sz w:val="17"/>
              </w:rPr>
              <w:t>A qualified reviewer assesses whether the interpretation is reasonable and whether local context is missing.</w:t>
            </w:r>
          </w:p>
        </w:tc>
      </w:tr>
      <w:tr>
        <w:trPr>
          <w:cantSplit/>
        </w:trPr>
        <w:tc>
          <w:tcPr>
            <w:tcW w:type="dxa" w:w="792"/>
            <w:tcMar>
              <w:top w:w="60" w:type="dxa"/>
              <w:start w:w="70" w:type="dxa"/>
              <w:bottom w:w="60" w:type="dxa"/>
              <w:end w:w="70" w:type="dxa"/>
            </w:tcMar>
            <w:vAlign w:val="top"/>
          </w:tcPr>
          <w:p>
            <w:pPr>
              <w:spacing w:after="0" w:line="240" w:lineRule="auto"/>
            </w:pPr>
            <w:r>
              <w:rPr>
                <w:color w:val="222222"/>
                <w:sz w:val="17"/>
              </w:rPr>
              <w:t>5</w:t>
            </w:r>
          </w:p>
        </w:tc>
        <w:tc>
          <w:tcPr>
            <w:tcW w:type="dxa" w:w="2304"/>
            <w:tcMar>
              <w:top w:w="60" w:type="dxa"/>
              <w:start w:w="70" w:type="dxa"/>
              <w:bottom w:w="60" w:type="dxa"/>
              <w:end w:w="70" w:type="dxa"/>
            </w:tcMar>
            <w:vAlign w:val="top"/>
          </w:tcPr>
          <w:p>
            <w:pPr>
              <w:spacing w:after="0" w:line="240" w:lineRule="auto"/>
            </w:pPr>
            <w:r>
              <w:rPr>
                <w:color w:val="222222"/>
                <w:sz w:val="17"/>
              </w:rPr>
              <w:t>Approval and publication</w:t>
            </w:r>
          </w:p>
        </w:tc>
        <w:tc>
          <w:tcPr>
            <w:tcW w:type="dxa" w:w="7272"/>
            <w:tcMar>
              <w:top w:w="60" w:type="dxa"/>
              <w:start w:w="70" w:type="dxa"/>
              <w:bottom w:w="60" w:type="dxa"/>
              <w:end w:w="70" w:type="dxa"/>
            </w:tcMar>
            <w:vAlign w:val="top"/>
          </w:tcPr>
          <w:p>
            <w:pPr>
              <w:spacing w:after="0" w:line="240" w:lineRule="auto"/>
            </w:pPr>
            <w:r>
              <w:rPr>
                <w:color w:val="222222"/>
                <w:sz w:val="17"/>
              </w:rPr>
              <w:t>Only approved claims are released; the owner, version, date, and change record are retained.</w:t>
            </w:r>
          </w:p>
        </w:tc>
      </w:tr>
    </w:tbl>
    <w:p>
      <w:pPr>
        <w:pStyle w:val="Heading1"/>
        <w:keepNext/>
      </w:pPr>
      <w:r>
        <w:t>3. Appropriate and Inappropriate Uses</w:t>
      </w:r>
    </w:p>
    <w:tbl>
      <w:tblPr>
        <w:tblStyle w:val="TableGrid"/>
        <w:tblW w:type="auto" w:w="0"/>
        <w:jc w:val="center"/>
        <w:tblLayout w:type="fixed"/>
        <w:tblLook w:firstColumn="1" w:firstRow="1" w:lastColumn="0" w:lastRow="0" w:noHBand="0" w:noVBand="1" w:val="04A0"/>
      </w:tblPr>
      <w:tblGrid>
        <w:gridCol w:w="5141"/>
        <w:gridCol w:w="5141"/>
      </w:tblGrid>
      <w:tr>
        <w:trPr>
          <w:tblHeader w:val="true"/>
          <w:cantSplit/>
        </w:trPr>
        <w:tc>
          <w:tcPr>
            <w:tcW w:type="dxa" w:w="1944"/>
            <w:shd w:fill="17365D"/>
            <w:tcMar>
              <w:top w:w="70" w:type="dxa"/>
              <w:start w:w="70" w:type="dxa"/>
              <w:bottom w:w="70" w:type="dxa"/>
              <w:end w:w="70" w:type="dxa"/>
            </w:tcMar>
            <w:vAlign w:val="center"/>
          </w:tcPr>
          <w:p>
            <w:pPr>
              <w:spacing w:after="0"/>
              <w:jc w:val="left"/>
            </w:pPr>
            <w:r>
              <w:rPr>
                <w:b/>
                <w:color w:val="FFFFFF"/>
                <w:sz w:val="18"/>
              </w:rPr>
              <w:t>Use category</w:t>
            </w:r>
          </w:p>
        </w:tc>
        <w:tc>
          <w:tcPr>
            <w:tcW w:type="dxa" w:w="8424"/>
            <w:shd w:fill="17365D"/>
            <w:tcMar>
              <w:top w:w="70" w:type="dxa"/>
              <w:start w:w="70" w:type="dxa"/>
              <w:bottom w:w="70" w:type="dxa"/>
              <w:end w:w="70" w:type="dxa"/>
            </w:tcMar>
            <w:vAlign w:val="center"/>
          </w:tcPr>
          <w:p>
            <w:pPr>
              <w:spacing w:after="0"/>
              <w:jc w:val="left"/>
            </w:pPr>
            <w:r>
              <w:rPr>
                <w:b/>
                <w:color w:val="FFFFFF"/>
                <w:sz w:val="18"/>
              </w:rPr>
              <w:t>Guidance</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8"/>
              </w:rPr>
              <w:t>Appropriate</w:t>
            </w:r>
          </w:p>
        </w:tc>
        <w:tc>
          <w:tcPr>
            <w:tcW w:type="dxa" w:w="8424"/>
            <w:tcMar>
              <w:top w:w="60" w:type="dxa"/>
              <w:start w:w="70" w:type="dxa"/>
              <w:bottom w:w="60" w:type="dxa"/>
              <w:end w:w="70" w:type="dxa"/>
            </w:tcMar>
            <w:vAlign w:val="top"/>
          </w:tcPr>
          <w:p>
            <w:pPr>
              <w:spacing w:after="0" w:line="240" w:lineRule="auto"/>
            </w:pPr>
            <w:r>
              <w:rPr>
                <w:color w:val="222222"/>
                <w:sz w:val="18"/>
              </w:rPr>
              <w:t>Exploratory housing analysis, planning discussions, trend monitoring, priority-setting for further review, process-improvement questions, resource-allocation discussions, and executive communication with stated limitations.</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8"/>
              </w:rPr>
              <w:t>Not appropriate</w:t>
            </w:r>
          </w:p>
        </w:tc>
        <w:tc>
          <w:tcPr>
            <w:tcW w:type="dxa" w:w="8424"/>
            <w:tcMar>
              <w:top w:w="60" w:type="dxa"/>
              <w:start w:w="70" w:type="dxa"/>
              <w:bottom w:w="60" w:type="dxa"/>
              <w:end w:w="70" w:type="dxa"/>
            </w:tcMar>
            <w:vAlign w:val="top"/>
            <w:shd w:fill="F2F2F2"/>
          </w:tcPr>
          <w:p>
            <w:pPr>
              <w:spacing w:after="0" w:line="240" w:lineRule="auto"/>
            </w:pPr>
            <w:r>
              <w:rPr>
                <w:color w:val="222222"/>
                <w:sz w:val="18"/>
              </w:rPr>
              <w:t>Automatic funding, eligibility, enforcement, legal, permitting, underwriting, appraisal, staffing, or policy decisions; causal claims unsupported by the data; ranking jurisdictions without alignment; or presenting forecasts as guarantees.</w:t>
            </w:r>
          </w:p>
        </w:tc>
      </w:tr>
    </w:tbl>
    <w:p>
      <w:pPr>
        <w:pStyle w:val="Heading1"/>
        <w:keepNext/>
      </w:pPr>
      <w:r>
        <w:t>4. Public-Benefit Release Model</w:t>
      </w:r>
    </w:p>
    <w:p>
      <w:r>
        <w:t>The AHIP public-benefit release model consists of three parts: a plain-English project website, a public repository containing the reviewed toolkit files, and a stable Zenodo archive with a persistent identifier.</w:t>
      </w:r>
    </w:p>
    <w:tbl>
      <w:tblPr>
        <w:tblStyle w:val="TableGrid"/>
        <w:tblW w:type="auto" w:w="0"/>
        <w:jc w:val="center"/>
        <w:tblLayout w:type="fixed"/>
        <w:tblLook w:firstColumn="1" w:firstRow="1" w:lastColumn="0" w:lastRow="0" w:noHBand="0" w:noVBand="1" w:val="04A0"/>
      </w:tblPr>
      <w:tblGrid>
        <w:gridCol w:w="5141"/>
        <w:gridCol w:w="5141"/>
      </w:tblGrid>
      <w:tr>
        <w:trPr>
          <w:tblHeader w:val="true"/>
          <w:cantSplit/>
        </w:trPr>
        <w:tc>
          <w:tcPr>
            <w:tcW w:type="dxa" w:w="2448"/>
            <w:shd w:fill="17365D"/>
            <w:tcMar>
              <w:top w:w="70" w:type="dxa"/>
              <w:start w:w="70" w:type="dxa"/>
              <w:bottom w:w="70" w:type="dxa"/>
              <w:end w:w="70" w:type="dxa"/>
            </w:tcMar>
            <w:vAlign w:val="center"/>
          </w:tcPr>
          <w:p>
            <w:pPr>
              <w:spacing w:after="0"/>
              <w:jc w:val="left"/>
            </w:pPr>
            <w:r>
              <w:rPr>
                <w:b/>
                <w:color w:val="FFFFFF"/>
                <w:sz w:val="17"/>
              </w:rPr>
              <w:t>Public layer</w:t>
            </w:r>
          </w:p>
        </w:tc>
        <w:tc>
          <w:tcPr>
            <w:tcW w:type="dxa" w:w="7920"/>
            <w:shd w:fill="17365D"/>
            <w:tcMar>
              <w:top w:w="70" w:type="dxa"/>
              <w:start w:w="70" w:type="dxa"/>
              <w:bottom w:w="70" w:type="dxa"/>
              <w:end w:w="70" w:type="dxa"/>
            </w:tcMar>
            <w:vAlign w:val="center"/>
          </w:tcPr>
          <w:p>
            <w:pPr>
              <w:spacing w:after="0"/>
              <w:jc w:val="left"/>
            </w:pPr>
            <w:r>
              <w:rPr>
                <w:b/>
                <w:color w:val="FFFFFF"/>
                <w:sz w:val="17"/>
              </w:rPr>
              <w:t>Purpose</w:t>
            </w:r>
          </w:p>
        </w:tc>
      </w:tr>
      <w:tr>
        <w:trPr>
          <w:cantSplit/>
        </w:trPr>
        <w:tc>
          <w:tcPr>
            <w:tcW w:type="dxa" w:w="2448"/>
            <w:tcMar>
              <w:top w:w="60" w:type="dxa"/>
              <w:start w:w="70" w:type="dxa"/>
              <w:bottom w:w="60" w:type="dxa"/>
              <w:end w:w="70" w:type="dxa"/>
            </w:tcMar>
            <w:vAlign w:val="top"/>
          </w:tcPr>
          <w:p>
            <w:pPr>
              <w:spacing w:after="0" w:line="240" w:lineRule="auto"/>
            </w:pPr>
            <w:r>
              <w:rPr>
                <w:color w:val="222222"/>
                <w:sz w:val="17"/>
              </w:rPr>
              <w:t>Public project website</w:t>
            </w:r>
          </w:p>
        </w:tc>
        <w:tc>
          <w:tcPr>
            <w:tcW w:type="dxa" w:w="7920"/>
            <w:tcMar>
              <w:top w:w="60" w:type="dxa"/>
              <w:start w:w="70" w:type="dxa"/>
              <w:bottom w:w="60" w:type="dxa"/>
              <w:end w:w="70" w:type="dxa"/>
            </w:tcMar>
            <w:vAlign w:val="top"/>
          </w:tcPr>
          <w:p>
            <w:r/>
            <w:r>
              <w:rPr>
                <w:sz w:val="18"/>
              </w:rPr>
              <w:t>A plain-English landing page for executives, housing professionals, researchers, nonprofits, and municipal users. Hosting platform: GitHub Pages.</w:t>
            </w:r>
          </w:p>
        </w:tc>
      </w:tr>
      <w:tr>
        <w:trPr>
          <w:cantSplit/>
        </w:trPr>
        <w:tc>
          <w:tcPr>
            <w:tcW w:type="dxa" w:w="2448"/>
            <w:tcMar>
              <w:top w:w="60" w:type="dxa"/>
              <w:start w:w="70" w:type="dxa"/>
              <w:bottom w:w="60" w:type="dxa"/>
              <w:end w:w="70" w:type="dxa"/>
            </w:tcMar>
            <w:vAlign w:val="top"/>
            <w:shd w:fill="F2F2F2"/>
          </w:tcPr>
          <w:p>
            <w:pPr>
              <w:spacing w:after="0" w:line="240" w:lineRule="auto"/>
            </w:pPr>
            <w:r>
              <w:rPr>
                <w:color w:val="222222"/>
                <w:sz w:val="17"/>
              </w:rPr>
              <w:t>Public GitHub repository</w:t>
            </w:r>
          </w:p>
        </w:tc>
        <w:tc>
          <w:tcPr>
            <w:tcW w:type="dxa" w:w="7920"/>
            <w:tcMar>
              <w:top w:w="60" w:type="dxa"/>
              <w:start w:w="70" w:type="dxa"/>
              <w:bottom w:w="60" w:type="dxa"/>
              <w:end w:w="70" w:type="dxa"/>
            </w:tcMar>
            <w:vAlign w:val="top"/>
            <w:shd w:fill="F2F2F2"/>
          </w:tcPr>
          <w:p>
            <w:r/>
            <w:r>
              <w:rPr>
                <w:sz w:val="18"/>
              </w:rPr>
              <w:t>Reviewed toolkit documents, reusable templates, KPI definitions, quality checklists, responsible-use guidance, selected examples, version history, and release notes.</w:t>
            </w:r>
          </w:p>
        </w:tc>
      </w:tr>
      <w:tr>
        <w:trPr>
          <w:cantSplit/>
        </w:trPr>
        <w:tc>
          <w:tcPr>
            <w:tcW w:type="dxa" w:w="2448"/>
            <w:tcMar>
              <w:top w:w="60" w:type="dxa"/>
              <w:start w:w="70" w:type="dxa"/>
              <w:bottom w:w="60" w:type="dxa"/>
              <w:end w:w="70" w:type="dxa"/>
            </w:tcMar>
            <w:vAlign w:val="top"/>
          </w:tcPr>
          <w:p>
            <w:pPr>
              <w:spacing w:after="0" w:line="240" w:lineRule="auto"/>
            </w:pPr>
            <w:r>
              <w:rPr>
                <w:color w:val="222222"/>
                <w:sz w:val="17"/>
              </w:rPr>
              <w:t>Stable archive and DOI</w:t>
            </w:r>
          </w:p>
        </w:tc>
        <w:tc>
          <w:tcPr>
            <w:tcW w:type="dxa" w:w="7920"/>
            <w:tcMar>
              <w:top w:w="60" w:type="dxa"/>
              <w:start w:w="70" w:type="dxa"/>
              <w:bottom w:w="60" w:type="dxa"/>
              <w:end w:w="70" w:type="dxa"/>
            </w:tcMar>
            <w:vAlign w:val="top"/>
          </w:tcPr>
          <w:p>
            <w:r/>
            <w:r>
              <w:rPr>
                <w:sz w:val="18"/>
              </w:rPr>
              <w:t>A reviewed versioned toolkit package uploaded to Zenodo using the resource type that best matches the files. Zenodo assigns a DOI when the record is published, allowing the release to be permanently identified and cited.</w:t>
            </w:r>
          </w:p>
        </w:tc>
      </w:tr>
    </w:tbl>
    <w:p>
      <w:pPr>
        <w:pStyle w:val="Heading1"/>
        <w:keepNext/>
      </w:pPr>
      <w:r>
        <w:t>5. Public Release Scope</w:t>
      </w:r>
    </w:p>
    <w:tbl>
      <w:tblPr>
        <w:tblStyle w:val="TableGrid"/>
        <w:tblW w:type="auto" w:w="0"/>
        <w:jc w:val="center"/>
        <w:tblLayout w:type="fixed"/>
        <w:tblLook w:firstColumn="1" w:firstRow="1" w:lastColumn="0" w:lastRow="0" w:noHBand="0" w:noVBand="1" w:val="04A0"/>
      </w:tblPr>
      <w:tblGrid>
        <w:gridCol w:w="5141"/>
        <w:gridCol w:w="5141"/>
      </w:tblGrid>
      <w:tr>
        <w:trPr>
          <w:tblHeader w:val="true"/>
          <w:cantSplit/>
        </w:trPr>
        <w:tc>
          <w:tcPr>
            <w:tcW w:type="dxa" w:w="1728"/>
            <w:shd w:fill="17365D"/>
            <w:tcMar>
              <w:top w:w="70" w:type="dxa"/>
              <w:start w:w="70" w:type="dxa"/>
              <w:bottom w:w="70" w:type="dxa"/>
              <w:end w:w="70" w:type="dxa"/>
            </w:tcMar>
            <w:vAlign w:val="center"/>
          </w:tcPr>
          <w:p>
            <w:pPr>
              <w:spacing w:after="0"/>
              <w:jc w:val="left"/>
            </w:pPr>
            <w:r>
              <w:rPr>
                <w:b/>
                <w:color w:val="FFFFFF"/>
                <w:sz w:val="17"/>
              </w:rPr>
              <w:t>Access level</w:t>
            </w:r>
          </w:p>
        </w:tc>
        <w:tc>
          <w:tcPr>
            <w:tcW w:type="dxa" w:w="8640"/>
            <w:shd w:fill="17365D"/>
            <w:tcMar>
              <w:top w:w="70" w:type="dxa"/>
              <w:start w:w="70" w:type="dxa"/>
              <w:bottom w:w="70" w:type="dxa"/>
              <w:end w:w="70" w:type="dxa"/>
            </w:tcMar>
            <w:vAlign w:val="center"/>
          </w:tcPr>
          <w:p>
            <w:pPr>
              <w:spacing w:after="0"/>
              <w:jc w:val="left"/>
            </w:pPr>
            <w:r>
              <w:rPr>
                <w:b/>
                <w:color w:val="FFFFFF"/>
                <w:sz w:val="17"/>
              </w:rPr>
              <w:t>Content boundary</w:t>
            </w:r>
          </w:p>
        </w:tc>
      </w:tr>
      <w:tr>
        <w:trPr>
          <w:cantSplit/>
        </w:trPr>
        <w:tc>
          <w:tcPr>
            <w:tcW w:type="dxa" w:w="1728"/>
            <w:tcMar>
              <w:top w:w="60" w:type="dxa"/>
              <w:start w:w="70" w:type="dxa"/>
              <w:bottom w:w="60" w:type="dxa"/>
              <w:end w:w="70" w:type="dxa"/>
            </w:tcMar>
            <w:vAlign w:val="top"/>
          </w:tcPr>
          <w:p>
            <w:pPr>
              <w:spacing w:after="0" w:line="240" w:lineRule="auto"/>
            </w:pPr>
            <w:r>
              <w:rPr>
                <w:color w:val="222222"/>
                <w:sz w:val="17"/>
              </w:rPr>
              <w:t>Public</w:t>
            </w:r>
          </w:p>
        </w:tc>
        <w:tc>
          <w:tcPr>
            <w:tcW w:type="dxa" w:w="8640"/>
            <w:tcMar>
              <w:top w:w="60" w:type="dxa"/>
              <w:start w:w="70" w:type="dxa"/>
              <w:bottom w:w="60" w:type="dxa"/>
              <w:end w:w="70" w:type="dxa"/>
            </w:tcMar>
            <w:vAlign w:val="top"/>
          </w:tcPr>
          <w:p>
            <w:pPr>
              <w:spacing w:after="0" w:line="240" w:lineRule="auto"/>
            </w:pPr>
            <w:r>
              <w:rPr>
                <w:color w:val="222222"/>
                <w:sz w:val="17"/>
              </w:rPr>
              <w:t>Concise AHIP overview; national replication framework; Miami-Dade case study; housing data-source guidance; KPI definitions; data-quality checklist; responsible-AI controls; selected dashboard examples; version notes; feedback instructions.</w:t>
            </w:r>
          </w:p>
        </w:tc>
      </w:tr>
      <w:tr>
        <w:trPr>
          <w:cantSplit/>
        </w:trPr>
        <w:tc>
          <w:tcPr>
            <w:tcW w:type="dxa" w:w="1728"/>
            <w:tcMar>
              <w:top w:w="60" w:type="dxa"/>
              <w:start w:w="70" w:type="dxa"/>
              <w:bottom w:w="60" w:type="dxa"/>
              <w:end w:w="70" w:type="dxa"/>
            </w:tcMar>
            <w:vAlign w:val="top"/>
          </w:tcPr>
          <w:p>
            <w:pPr>
              <w:spacing w:after="0" w:line="240" w:lineRule="auto"/>
            </w:pPr>
            <w:r>
              <w:rPr>
                <w:color w:val="222222"/>
                <w:sz w:val="17"/>
              </w:rPr>
              <w:t>Conditional</w:t>
            </w:r>
          </w:p>
        </w:tc>
        <w:tc>
          <w:tcPr>
            <w:tcW w:type="dxa" w:w="8640"/>
            <w:tcMar>
              <w:top w:w="60" w:type="dxa"/>
              <w:start w:w="70" w:type="dxa"/>
              <w:bottom w:w="60" w:type="dxa"/>
              <w:end w:w="70" w:type="dxa"/>
            </w:tcMar>
            <w:vAlign w:val="top"/>
          </w:tcPr>
          <w:p>
            <w:pPr>
              <w:spacing w:after="0" w:line="240" w:lineRule="auto"/>
            </w:pPr>
            <w:r>
              <w:rPr>
                <w:color w:val="222222"/>
                <w:sz w:val="17"/>
              </w:rPr>
              <w:t>Selected code, queries, or templates only after privacy, security, licensing, accuracy, and maintainability review.</w:t>
            </w:r>
          </w:p>
        </w:tc>
      </w:tr>
    </w:tbl>
    <w:p>
      <w:pPr>
        <w:pStyle w:val="Heading1"/>
        <w:keepNext/>
      </w:pPr>
      <w:r>
        <w:t>6. Versioning, Citation, and Feedback</w:t>
      </w:r>
    </w:p>
    <w:p>
      <w:pPr>
        <w:pStyle w:val="CompactBullet"/>
      </w:pPr>
      <w:r>
        <w:t>Use a version number and publication date for every public release.</w:t>
      </w:r>
    </w:p>
    <w:p>
      <w:pPr>
        <w:pStyle w:val="CompactBullet"/>
      </w:pPr>
      <w:r>
        <w:t>Create a GitHub release with release notes describing added, changed, corrected, or removed material.</w:t>
      </w:r>
    </w:p>
    <w:p>
      <w:pPr>
        <w:pStyle w:val="CompactBullet"/>
      </w:pPr>
      <w:r>
        <w:t>Archive the reviewed release through Zenodo and retain the DOI in the public record and toolkit documents.</w:t>
      </w:r>
    </w:p>
    <w:p>
      <w:pPr>
        <w:pStyle w:val="CompactBullet"/>
      </w:pPr>
      <w:r>
        <w:t>Keep a change log showing the reason for each material revision.</w:t>
      </w:r>
    </w:p>
    <w:p>
      <w:pPr>
        <w:pStyle w:val="CompactBullet"/>
      </w:pPr>
      <w:r>
        <w:t>Provide a feedback channel for usability questions, data issues, correction requests, and expressions of professional interest.</w:t>
      </w:r>
    </w:p>
    <w:p>
      <w:pPr>
        <w:pStyle w:val="Heading1"/>
        <w:keepNext/>
      </w:pPr>
      <w:r>
        <w:t>7. Public Release Readiness Checklist</w:t>
      </w:r>
    </w:p>
    <w:tbl>
      <w:tblPr>
        <w:tblStyle w:val="TableGrid"/>
        <w:tblW w:type="auto" w:w="0"/>
        <w:jc w:val="center"/>
        <w:tblLayout w:type="fixed"/>
        <w:tblLook w:firstColumn="1" w:firstRow="1" w:lastColumn="0" w:lastRow="0" w:noHBand="0" w:noVBand="1" w:val="04A0"/>
      </w:tblPr>
      <w:tblGrid>
        <w:gridCol w:w="5141"/>
        <w:gridCol w:w="5141"/>
      </w:tblGrid>
      <w:tr>
        <w:trPr>
          <w:tblHeader w:val="true"/>
          <w:cantSplit/>
        </w:trPr>
        <w:tc>
          <w:tcPr>
            <w:tcW w:type="dxa" w:w="1944"/>
            <w:shd w:fill="17365D"/>
            <w:tcMar>
              <w:top w:w="70" w:type="dxa"/>
              <w:start w:w="70" w:type="dxa"/>
              <w:bottom w:w="70" w:type="dxa"/>
              <w:end w:w="70" w:type="dxa"/>
            </w:tcMar>
            <w:vAlign w:val="center"/>
          </w:tcPr>
          <w:p>
            <w:pPr>
              <w:spacing w:after="0"/>
              <w:jc w:val="left"/>
            </w:pPr>
            <w:r>
              <w:rPr>
                <w:b/>
                <w:color w:val="FFFFFF"/>
                <w:sz w:val="17"/>
              </w:rPr>
              <w:t>Review area</w:t>
            </w:r>
          </w:p>
        </w:tc>
        <w:tc>
          <w:tcPr>
            <w:tcW w:type="dxa" w:w="8424"/>
            <w:shd w:fill="17365D"/>
            <w:tcMar>
              <w:top w:w="70" w:type="dxa"/>
              <w:start w:w="70" w:type="dxa"/>
              <w:bottom w:w="70" w:type="dxa"/>
              <w:end w:w="70" w:type="dxa"/>
            </w:tcMar>
            <w:vAlign w:val="center"/>
          </w:tcPr>
          <w:p>
            <w:pPr>
              <w:spacing w:after="0"/>
              <w:jc w:val="left"/>
            </w:pPr>
            <w:r>
              <w:rPr>
                <w:b/>
                <w:color w:val="FFFFFF"/>
                <w:sz w:val="17"/>
              </w:rPr>
              <w:t>Release condition</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7"/>
              </w:rPr>
              <w:t>Content</w:t>
            </w:r>
          </w:p>
        </w:tc>
        <w:tc>
          <w:tcPr>
            <w:tcW w:type="dxa" w:w="8424"/>
            <w:tcMar>
              <w:top w:w="60" w:type="dxa"/>
              <w:start w:w="70" w:type="dxa"/>
              <w:bottom w:w="60" w:type="dxa"/>
              <w:end w:w="70" w:type="dxa"/>
            </w:tcMar>
            <w:vAlign w:val="top"/>
          </w:tcPr>
          <w:p>
            <w:pPr>
              <w:spacing w:after="0" w:line="240" w:lineRule="auto"/>
            </w:pPr>
            <w:r>
              <w:rPr>
                <w:color w:val="222222"/>
                <w:sz w:val="17"/>
              </w:rPr>
              <w:t>Plain-English purpose, users, methods, results, limitations, and current status are clear.</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7"/>
              </w:rPr>
              <w:t>Accuracy</w:t>
            </w:r>
          </w:p>
        </w:tc>
        <w:tc>
          <w:tcPr>
            <w:tcW w:type="dxa" w:w="8424"/>
            <w:tcMar>
              <w:top w:w="60" w:type="dxa"/>
              <w:start w:w="70" w:type="dxa"/>
              <w:bottom w:w="60" w:type="dxa"/>
              <w:end w:w="70" w:type="dxa"/>
            </w:tcMar>
            <w:vAlign w:val="top"/>
            <w:shd w:fill="F2F2F2"/>
          </w:tcPr>
          <w:p>
            <w:pPr>
              <w:spacing w:after="0" w:line="240" w:lineRule="auto"/>
            </w:pPr>
            <w:r>
              <w:rPr>
                <w:color w:val="222222"/>
                <w:sz w:val="17"/>
              </w:rPr>
              <w:t>All metrics, screenshots, dates, definitions, and statements have been checked.</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7"/>
              </w:rPr>
              <w:t>Traceability</w:t>
            </w:r>
          </w:p>
        </w:tc>
        <w:tc>
          <w:tcPr>
            <w:tcW w:type="dxa" w:w="8424"/>
            <w:tcMar>
              <w:top w:w="60" w:type="dxa"/>
              <w:start w:w="70" w:type="dxa"/>
              <w:bottom w:w="60" w:type="dxa"/>
              <w:end w:w="70" w:type="dxa"/>
            </w:tcMar>
            <w:vAlign w:val="top"/>
          </w:tcPr>
          <w:p>
            <w:pPr>
              <w:spacing w:after="0" w:line="240" w:lineRule="auto"/>
            </w:pPr>
            <w:r>
              <w:rPr>
                <w:color w:val="222222"/>
                <w:sz w:val="17"/>
              </w:rPr>
              <w:t>Published claims can be linked to approved sources and calculations.</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7"/>
              </w:rPr>
              <w:t>Scope control</w:t>
            </w:r>
          </w:p>
        </w:tc>
        <w:tc>
          <w:tcPr>
            <w:tcW w:type="dxa" w:w="8424"/>
            <w:tcMar>
              <w:top w:w="60" w:type="dxa"/>
              <w:start w:w="70" w:type="dxa"/>
              <w:bottom w:w="60" w:type="dxa"/>
              <w:end w:w="70" w:type="dxa"/>
            </w:tcMar>
            <w:vAlign w:val="top"/>
            <w:shd w:fill="F2F2F2"/>
          </w:tcPr>
          <w:p>
            <w:pPr>
              <w:spacing w:after="0" w:line="240" w:lineRule="auto"/>
            </w:pPr>
            <w:r>
              <w:rPr>
                <w:color w:val="222222"/>
                <w:sz w:val="17"/>
              </w:rPr>
              <w:t>Only reviewed, project-relevant materials approved for public use are included.</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7"/>
              </w:rPr>
              <w:t>Licensing</w:t>
            </w:r>
          </w:p>
        </w:tc>
        <w:tc>
          <w:tcPr>
            <w:tcW w:type="dxa" w:w="8424"/>
            <w:tcMar>
              <w:top w:w="60" w:type="dxa"/>
              <w:start w:w="70" w:type="dxa"/>
              <w:bottom w:w="60" w:type="dxa"/>
              <w:end w:w="70" w:type="dxa"/>
            </w:tcMar>
            <w:vAlign w:val="top"/>
          </w:tcPr>
          <w:p>
            <w:pPr>
              <w:spacing w:after="0" w:line="240" w:lineRule="auto"/>
            </w:pPr>
            <w:r>
              <w:rPr>
                <w:color w:val="222222"/>
                <w:sz w:val="17"/>
              </w:rPr>
              <w:t>Third-party data, text, charts, and images have appropriate attribution and redistribution rights.</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7"/>
              </w:rPr>
              <w:t>Accessibility</w:t>
            </w:r>
          </w:p>
        </w:tc>
        <w:tc>
          <w:tcPr>
            <w:tcW w:type="dxa" w:w="8424"/>
            <w:tcMar>
              <w:top w:w="60" w:type="dxa"/>
              <w:start w:w="70" w:type="dxa"/>
              <w:bottom w:w="60" w:type="dxa"/>
              <w:end w:w="70" w:type="dxa"/>
            </w:tcMar>
            <w:vAlign w:val="top"/>
            <w:shd w:fill="F2F2F2"/>
          </w:tcPr>
          <w:p>
            <w:pPr>
              <w:spacing w:after="0" w:line="240" w:lineRule="auto"/>
            </w:pPr>
            <w:r>
              <w:rPr>
                <w:color w:val="222222"/>
                <w:sz w:val="17"/>
              </w:rPr>
              <w:t>Headings, tables, image descriptions, readable fonts, and sufficient contrast are used.</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7"/>
              </w:rPr>
              <w:t>Governance</w:t>
            </w:r>
          </w:p>
        </w:tc>
        <w:tc>
          <w:tcPr>
            <w:tcW w:type="dxa" w:w="8424"/>
            <w:tcMar>
              <w:top w:w="60" w:type="dxa"/>
              <w:start w:w="70" w:type="dxa"/>
              <w:bottom w:w="60" w:type="dxa"/>
              <w:end w:w="70" w:type="dxa"/>
            </w:tcMar>
            <w:vAlign w:val="top"/>
          </w:tcPr>
          <w:p>
            <w:pPr>
              <w:spacing w:after="0" w:line="240" w:lineRule="auto"/>
            </w:pPr>
            <w:r>
              <w:rPr>
                <w:color w:val="222222"/>
                <w:sz w:val="17"/>
              </w:rPr>
              <w:t>Owner, version, date, release notes, change log, and feedback channel are identified.</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7"/>
              </w:rPr>
              <w:t>Claims</w:t>
            </w:r>
          </w:p>
        </w:tc>
        <w:tc>
          <w:tcPr>
            <w:tcW w:type="dxa" w:w="8424"/>
            <w:tcMar>
              <w:top w:w="60" w:type="dxa"/>
              <w:start w:w="70" w:type="dxa"/>
              <w:bottom w:w="60" w:type="dxa"/>
              <w:end w:w="70" w:type="dxa"/>
            </w:tcMar>
            <w:vAlign w:val="top"/>
            <w:shd w:fill="F2F2F2"/>
          </w:tcPr>
          <w:p>
            <w:pPr>
              <w:spacing w:after="0" w:line="240" w:lineRule="auto"/>
            </w:pPr>
            <w:r>
              <w:rPr>
                <w:color w:val="222222"/>
                <w:sz w:val="17"/>
              </w:rPr>
              <w:t>No adoption, endorsement, partnership, public-sector deployment, or impact claim is made without evidence.</w:t>
            </w:r>
          </w:p>
        </w:tc>
      </w:tr>
    </w:tbl>
    <w:tbl>
      <w:tblPr>
        <w:tblW w:type="auto" w:w="0"/>
        <w:jc w:val="center"/>
        <w:tblLayout w:type="fixed"/>
        <w:tblLook w:firstColumn="1" w:firstRow="1" w:lastColumn="0" w:lastRow="0" w:noHBand="0" w:noVBand="1" w:val="04A0"/>
      </w:tblPr>
      <w:tblGrid>
        <w:gridCol w:w="10282"/>
      </w:tblGrid>
      <w:tr>
        <w:trPr>
          <w:tblHeader w:val="true"/>
        </w:trPr>
        <w:tc>
          <w:tcPr>
            <w:tcW w:type="dxa" w:w="10282"/>
            <w:shd w:fill="FFF2CC"/>
            <w:tcBorders>
              <w:top w:val="single" w:sz="8" w:color="BF8F00"/>
              <w:left w:val="single" w:sz="8" w:color="BF8F00"/>
              <w:bottom w:val="single" w:sz="8" w:color="BF8F00"/>
              <w:right w:val="single" w:sz="8" w:color="BF8F00"/>
            </w:tcBorders>
            <w:tcMar>
              <w:top w:w="100" w:type="dxa"/>
              <w:start w:w="130" w:type="dxa"/>
              <w:bottom w:w="100" w:type="dxa"/>
              <w:end w:w="130" w:type="dxa"/>
            </w:tcMar>
          </w:tcPr>
          <w:p>
            <w:r/>
            <w:r>
              <w:rPr>
                <w:sz w:val="18"/>
              </w:rPr>
              <w:t>Current status statement</w:t>
              <w:br/>
              <w:t>The AHIP MVP has completed its core analytical, dashboard, forecasting, AI-governance, and quality-assurance work. These toolkit documents are Version 1.0 and are prepared for controlled public release. Public URLs, publication dates, usage information, and DOI records should be cited only after they exist.</w:t>
            </w:r>
          </w:p>
        </w:tc>
      </w:tr>
    </w:tbl>
    <w:p>
      <w:pPr>
        <w:spacing w:after="0"/>
      </w:pPr>
    </w:p>
    <w:p>
      <w:pPr>
        <w:pStyle w:val="Heading1"/>
        <w:keepNext/>
      </w:pPr>
      <w:r>
        <w:t>8. Official Platform References</w:t>
      </w:r>
    </w:p>
    <w:p>
      <w:hyperlink r:id="rId16">
        <w:r>
          <w:rPr>
            <w:color w:val="0563C1"/>
            <w:u w:val="single"/>
          </w:rPr>
          <w:t>GitHub Docs - Creating a GitHub Pages Site</w:t>
        </w:r>
      </w:hyperlink>
    </w:p>
    <w:p>
      <w:hyperlink r:id="rId12">
        <w:r>
          <w:rPr>
            <w:color w:val="0563C1"/>
            <w:u w:val="single"/>
          </w:rPr>
          <w:t>GitHub Docs - About Releases</w:t>
        </w:r>
      </w:hyperlink>
    </w:p>
    <w:p>
      <w:hyperlink r:id="rId13">
        <w:r>
          <w:rPr>
            <w:color w:val="0563C1"/>
            <w:u w:val="single"/>
          </w:rPr>
          <w:t>Zenodo - Quick Start</w:t>
        </w:r>
      </w:hyperlink>
    </w:p>
    <w:p>
      <w:hyperlink r:id="rId17">
        <w:r>
          <w:rPr>
            <w:color w:val="0563C1"/>
            <w:u w:val="single"/>
          </w:rPr>
          <w:t>Zenodo - Resource Types</w:t>
        </w:r>
      </w:hyperlink>
    </w:p>
    <w:p>
      <w:hyperlink r:id="rId15">
        <w:r>
          <w:rPr>
            <w:color w:val="0563C1"/>
            <w:u w:val="single"/>
          </w:rPr>
          <w:t>Zenodo - Reserve a DOI</w:t>
        </w:r>
      </w:hyperlink>
    </w:p>
    <w:p>
      <w:pPr>
        <w:pStyle w:val="BodyText"/>
        <w:spacing w:after="120"/>
      </w:pPr>
      <w:r>
        <w:t>Suggested citation: Awediss, Arshalouys. 2026. AHIP Responsible Use and Public Access Guide. Version 1.0. Affordable Housing Intelligence Platform.</w:t>
      </w:r>
    </w:p>
    <w:sectPr w:rsidR="00FC693F" w:rsidRPr="0006063C" w:rsidSect="00034616">
      <w:headerReference w:type="default" r:id="rId9"/>
      <w:footerReference w:type="default" r:id="rId10"/>
      <w:pgSz w:w="12240" w:h="15840"/>
      <w:pgMar w:top="893" w:right="979" w:bottom="893" w:left="979"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95959"/>
        <w:sz w:val="16"/>
      </w:rPr>
      <w:t>Responsible Use and Public Access Guide | Version 1.0 | July 2026</w:t>
    </w:r>
  </w:p>
  <w:p>
    <w:pPr>
      <w:jc w:val="right"/>
    </w:pPr>
    <w:r>
      <w:rPr>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2F75B5"/>
      </w:pBdr>
    </w:pPr>
    <w:r>
      <w:rPr>
        <w:rFonts w:ascii="Aptos" w:hAnsi="Aptos"/>
        <w:b/>
        <w:color w:val="17365D"/>
        <w:sz w:val="16"/>
      </w:rPr>
      <w:t>AFFORDABLE HOUSING ANALYTICS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w:hAnsi="Aptos"/>
      <w:b/>
      <w:bCs/>
      <w:color w:val="1F6D7A"/>
      <w:sz w:val="24"/>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ptos" w:hAnsi="Aptos"/>
      <w:b/>
      <w:bCs/>
      <w:color w:val="2F75B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Aptos" w:hAnsi="Aptos"/>
      <w:b w:val="0"/>
      <w:i/>
      <w:iCs/>
      <w:color w:val="6666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ListBullet"/>
    <w:pPr>
      <w:spacing w:after="40" w:line="240" w:lineRule="auto"/>
      <w:ind w:left="259" w:hanging="173"/>
    </w:pPr>
    <w:rPr>
      <w:rFonts w:ascii="Aptos" w:hAnsi="Aptos"/>
      <w:sz w:val="19"/>
    </w:rPr>
  </w:style>
  <w:style w:type="paragraph" w:customStyle="1" w:styleId="SmallNote">
    <w:name w:val="Small Note"/>
    <w:pPr>
      <w:spacing w:after="60" w:line="240" w:lineRule="auto"/>
    </w:pPr>
    <w:rPr>
      <w:rFonts w:ascii="Aptos" w:hAnsi="Aptos"/>
      <w:color w:val="66666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cs.github.com/en/pages/getting-started-with-github-pages" TargetMode="External"/><Relationship Id="rId12" Type="http://schemas.openxmlformats.org/officeDocument/2006/relationships/hyperlink" Target="https://docs.github.com/en/repositories/releasing-projects-on-github/about-releases" TargetMode="External"/><Relationship Id="rId13" Type="http://schemas.openxmlformats.org/officeDocument/2006/relationships/hyperlink" Target="https://help.zenodo.org/docs/get-started/quickstart/" TargetMode="External"/><Relationship Id="rId14" Type="http://schemas.openxmlformats.org/officeDocument/2006/relationships/hyperlink" Target="https://help.zenodo.org/docs/github/archive-software/github-upload/" TargetMode="External"/><Relationship Id="rId15" Type="http://schemas.openxmlformats.org/officeDocument/2006/relationships/hyperlink" Target="https://help.zenodo.org/docs/deposit/describe-records/reserve-doi/" TargetMode="External"/><Relationship Id="rId16" Type="http://schemas.openxmlformats.org/officeDocument/2006/relationships/hyperlink" Target="https://docs.github.com/en/pages/getting-started-with-github-pages/creating-a-github-pages-site" TargetMode="External"/><Relationship Id="rId17" Type="http://schemas.openxmlformats.org/officeDocument/2006/relationships/hyperlink" Target="https://help.zenodo.org/docs/deposit/describe-records/resource-type/" TargetMode="External"/><Relationship Id="rId18"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AHIP Responsible Use and Public Access Guide</dc:title>
  <dc:subject>Human-review controls, public access boundaries, versioning, and responsible-use rules</dc:subject>
  <dc:creator>Arshalouys Awediss</dc:creator>
  <cp:keywords>affordable housing, business intelligence, data analytics, decision support, permitting, public-benefit toolkit</cp:keywords>
  <dc:description>Affordable Housing Intelligence Platform public-benefit toolkit, Version 1.0.</dc:description>
  <cp:lastModifiedBy/>
  <cp:revision>1</cp:revision>
  <dcterms:created xsi:type="dcterms:W3CDTF">2013-12-23T23:15:00Z</dcterms:created>
  <dcterms:modified xsi:type="dcterms:W3CDTF">2013-12-23T23:15:00Z</dcterms:modified>
  <cp:category/>
</cp:coreProperties>
</file>