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t>AHIP Housing Analytics Reference Guide</w:t>
      </w:r>
    </w:p>
    <w:p>
      <w:pPr>
        <w:pStyle w:val="Subtitle"/>
      </w:pPr>
      <w:r>
        <w:t>Core data sources, KPI definitions, data-quality controls, and local adaptation checks</w:t>
      </w:r>
    </w:p>
    <w:p>
      <w:pPr>
        <w:spacing w:after="180"/>
      </w:pPr>
      <w:r>
        <w:t>Version 1.0 | July 2026 | Project Owner: Ms. Arshalouys Awediss</w:t>
      </w:r>
    </w:p>
    <w:tbl>
      <w:tblPr>
        <w:tblW w:type="auto" w:w="0"/>
        <w:jc w:val="center"/>
        <w:tblLayout w:type="fixed"/>
        <w:tblLook w:firstColumn="1" w:firstRow="1" w:lastColumn="0" w:lastRow="0" w:noHBand="0" w:noVBand="1" w:val="04A0"/>
      </w:tblPr>
      <w:tblGrid>
        <w:gridCol w:w="10282"/>
      </w:tblGrid>
      <w:tr>
        <w:trPr>
          <w:tblHeader w:val="true"/>
        </w:trPr>
        <w:tc>
          <w:tcPr>
            <w:tcW w:type="dxa" w:w="10282"/>
            <w:shd w:fill="EDF4FA"/>
            <w:tcBorders>
              <w:top w:val="single" w:sz="8" w:color="2F75B5"/>
              <w:left w:val="single" w:sz="8" w:color="2F75B5"/>
              <w:bottom w:val="single" w:sz="8" w:color="2F75B5"/>
              <w:right w:val="single" w:sz="8" w:color="2F75B5"/>
            </w:tcBorders>
            <w:tcMar>
              <w:top w:w="100" w:type="dxa"/>
              <w:start w:w="130" w:type="dxa"/>
              <w:bottom w:w="100" w:type="dxa"/>
              <w:end w:w="130" w:type="dxa"/>
            </w:tcMar>
          </w:tcPr>
          <w:p>
            <w:r/>
            <w:r>
              <w:rPr>
                <w:sz w:val="18"/>
              </w:rPr>
              <w:t>Purpose of this release</w:t>
              <w:br/>
              <w:t>This concise public-benefit guide summarizes the main housing data sources, KPI definitions, quality controls, and local adaptation checks used by AHIP. It does not claim government adoption, endorsement, partnership, or national deployment.</w:t>
            </w:r>
          </w:p>
        </w:tc>
      </w:tr>
    </w:tbl>
    <w:p>
      <w:pPr>
        <w:spacing w:after="0"/>
      </w:pPr>
    </w:p>
    <w:p>
      <w:pPr>
        <w:pStyle w:val="Heading1"/>
        <w:keepNext/>
      </w:pPr>
      <w:r>
        <w:t>1. Purpose</w:t>
      </w:r>
    </w:p>
    <w:p>
      <w:r>
        <w:t>This guide provides a concise reference for the main public datasets, indicators, and quality controls used in the AHIP minimum viable product. It is designed to help another U.S. jurisdiction or housing organization understand what information is needed before adapting the framework.</w:t>
      </w:r>
    </w:p>
    <w:p>
      <w:pPr>
        <w:pStyle w:val="Heading1"/>
        <w:keepNext/>
      </w:pPr>
      <w:r>
        <w:t>2. Core Data Sources</w:t>
      </w:r>
    </w:p>
    <w:tbl>
      <w:tblPr>
        <w:tblStyle w:val="TableGrid"/>
        <w:tblW w:type="auto" w:w="0"/>
        <w:jc w:val="center"/>
        <w:tblLayout w:type="fixed"/>
        <w:tblLook w:firstColumn="1" w:firstRow="1" w:lastColumn="0" w:lastRow="0" w:noHBand="0" w:noVBand="1" w:val="04A0"/>
      </w:tblPr>
      <w:tblGrid>
        <w:gridCol w:w="1714"/>
        <w:gridCol w:w="1714"/>
        <w:gridCol w:w="1714"/>
        <w:gridCol w:w="1714"/>
        <w:gridCol w:w="1714"/>
        <w:gridCol w:w="1714"/>
      </w:tblGrid>
      <w:tr>
        <w:trPr>
          <w:tblHeader w:val="true"/>
          <w:cantSplit/>
        </w:trPr>
        <w:tc>
          <w:tcPr>
            <w:tcW w:type="dxa" w:w="1944"/>
            <w:shd w:fill="17365D"/>
            <w:tcMar>
              <w:top w:w="70" w:type="dxa"/>
              <w:start w:w="70" w:type="dxa"/>
              <w:bottom w:w="70" w:type="dxa"/>
              <w:end w:w="70" w:type="dxa"/>
            </w:tcMar>
            <w:vAlign w:val="center"/>
          </w:tcPr>
          <w:p>
            <w:pPr>
              <w:spacing w:after="0"/>
              <w:jc w:val="left"/>
            </w:pPr>
            <w:r>
              <w:rPr>
                <w:b/>
                <w:color w:val="FFFFFF"/>
                <w:sz w:val="15"/>
              </w:rPr>
              <w:t>Dataset</w:t>
            </w:r>
          </w:p>
        </w:tc>
        <w:tc>
          <w:tcPr>
            <w:tcW w:type="dxa" w:w="1440"/>
            <w:shd w:fill="17365D"/>
            <w:tcMar>
              <w:top w:w="70" w:type="dxa"/>
              <w:start w:w="70" w:type="dxa"/>
              <w:bottom w:w="70" w:type="dxa"/>
              <w:end w:w="70" w:type="dxa"/>
            </w:tcMar>
            <w:vAlign w:val="center"/>
          </w:tcPr>
          <w:p>
            <w:pPr>
              <w:spacing w:after="0"/>
              <w:jc w:val="left"/>
            </w:pPr>
            <w:r>
              <w:rPr>
                <w:b/>
                <w:color w:val="FFFFFF"/>
                <w:sz w:val="15"/>
              </w:rPr>
              <w:t>Publisher</w:t>
            </w:r>
          </w:p>
        </w:tc>
        <w:tc>
          <w:tcPr>
            <w:tcW w:type="dxa" w:w="2376"/>
            <w:shd w:fill="17365D"/>
            <w:tcMar>
              <w:top w:w="70" w:type="dxa"/>
              <w:start w:w="70" w:type="dxa"/>
              <w:bottom w:w="70" w:type="dxa"/>
              <w:end w:w="70" w:type="dxa"/>
            </w:tcMar>
            <w:vAlign w:val="center"/>
          </w:tcPr>
          <w:p>
            <w:pPr>
              <w:spacing w:after="0"/>
              <w:jc w:val="left"/>
            </w:pPr>
            <w:r>
              <w:rPr>
                <w:b/>
                <w:color w:val="FFFFFF"/>
                <w:sz w:val="15"/>
              </w:rPr>
              <w:t>Primary use</w:t>
            </w:r>
          </w:p>
        </w:tc>
        <w:tc>
          <w:tcPr>
            <w:tcW w:type="dxa" w:w="1800"/>
            <w:shd w:fill="17365D"/>
            <w:tcMar>
              <w:top w:w="70" w:type="dxa"/>
              <w:start w:w="70" w:type="dxa"/>
              <w:bottom w:w="70" w:type="dxa"/>
              <w:end w:w="70" w:type="dxa"/>
            </w:tcMar>
            <w:vAlign w:val="center"/>
          </w:tcPr>
          <w:p>
            <w:pPr>
              <w:spacing w:after="0"/>
              <w:jc w:val="left"/>
            </w:pPr>
            <w:r>
              <w:rPr>
                <w:b/>
                <w:color w:val="FFFFFF"/>
                <w:sz w:val="15"/>
              </w:rPr>
              <w:t>Coverage</w:t>
            </w:r>
          </w:p>
        </w:tc>
        <w:tc>
          <w:tcPr>
            <w:tcW w:type="dxa" w:w="936"/>
            <w:shd w:fill="17365D"/>
            <w:tcMar>
              <w:top w:w="70" w:type="dxa"/>
              <w:start w:w="70" w:type="dxa"/>
              <w:bottom w:w="70" w:type="dxa"/>
              <w:end w:w="70" w:type="dxa"/>
            </w:tcMar>
            <w:vAlign w:val="center"/>
          </w:tcPr>
          <w:p>
            <w:pPr>
              <w:spacing w:after="0"/>
              <w:jc w:val="left"/>
            </w:pPr>
            <w:r>
              <w:rPr>
                <w:b/>
                <w:color w:val="FFFFFF"/>
                <w:sz w:val="15"/>
              </w:rPr>
              <w:t>Refresh</w:t>
            </w:r>
          </w:p>
        </w:tc>
        <w:tc>
          <w:tcPr>
            <w:tcW w:type="dxa" w:w="2088"/>
            <w:shd w:fill="17365D"/>
            <w:tcMar>
              <w:top w:w="70" w:type="dxa"/>
              <w:start w:w="70" w:type="dxa"/>
              <w:bottom w:w="70" w:type="dxa"/>
              <w:end w:w="70" w:type="dxa"/>
            </w:tcMar>
            <w:vAlign w:val="center"/>
          </w:tcPr>
          <w:p>
            <w:pPr>
              <w:spacing w:after="0"/>
              <w:jc w:val="left"/>
            </w:pPr>
            <w:r>
              <w:rPr>
                <w:b/>
                <w:color w:val="FFFFFF"/>
                <w:sz w:val="15"/>
              </w:rPr>
              <w:t>Key limitation</w:t>
            </w:r>
          </w:p>
        </w:tc>
      </w:tr>
      <w:tr>
        <w:trPr>
          <w:cantSplit/>
        </w:trPr>
        <w:tc>
          <w:tcPr>
            <w:tcW w:type="dxa" w:w="1944"/>
            <w:tcMar>
              <w:top w:w="60" w:type="dxa"/>
              <w:start w:w="70" w:type="dxa"/>
              <w:bottom w:w="60" w:type="dxa"/>
              <w:end w:w="70" w:type="dxa"/>
            </w:tcMar>
            <w:vAlign w:val="top"/>
          </w:tcPr>
          <w:p>
            <w:pPr>
              <w:spacing w:after="0" w:line="240" w:lineRule="auto"/>
            </w:pPr>
            <w:r>
              <w:rPr>
                <w:color w:val="222222"/>
                <w:sz w:val="15"/>
              </w:rPr>
              <w:t>ACS 2020-2024 5-Year</w:t>
            </w:r>
          </w:p>
        </w:tc>
        <w:tc>
          <w:tcPr>
            <w:tcW w:type="dxa" w:w="1440"/>
            <w:tcMar>
              <w:top w:w="60" w:type="dxa"/>
              <w:start w:w="70" w:type="dxa"/>
              <w:bottom w:w="60" w:type="dxa"/>
              <w:end w:w="70" w:type="dxa"/>
            </w:tcMar>
            <w:vAlign w:val="top"/>
          </w:tcPr>
          <w:p>
            <w:pPr>
              <w:spacing w:after="0" w:line="240" w:lineRule="auto"/>
            </w:pPr>
            <w:r>
              <w:rPr>
                <w:color w:val="222222"/>
                <w:sz w:val="15"/>
              </w:rPr>
              <w:t>U.S. Census Bureau</w:t>
            </w:r>
          </w:p>
        </w:tc>
        <w:tc>
          <w:tcPr>
            <w:tcW w:type="dxa" w:w="2376"/>
            <w:tcMar>
              <w:top w:w="60" w:type="dxa"/>
              <w:start w:w="70" w:type="dxa"/>
              <w:bottom w:w="60" w:type="dxa"/>
              <w:end w:w="70" w:type="dxa"/>
            </w:tcMar>
            <w:vAlign w:val="top"/>
          </w:tcPr>
          <w:p>
            <w:pPr>
              <w:spacing w:after="0" w:line="240" w:lineRule="auto"/>
            </w:pPr>
            <w:r>
              <w:rPr>
                <w:color w:val="222222"/>
                <w:sz w:val="15"/>
              </w:rPr>
              <w:t>Income, rent, home value, tenure, vacancy, poverty, and cost burden</w:t>
            </w:r>
          </w:p>
        </w:tc>
        <w:tc>
          <w:tcPr>
            <w:tcW w:type="dxa" w:w="1800"/>
            <w:tcMar>
              <w:top w:w="60" w:type="dxa"/>
              <w:start w:w="70" w:type="dxa"/>
              <w:bottom w:w="60" w:type="dxa"/>
              <w:end w:w="70" w:type="dxa"/>
            </w:tcMar>
            <w:vAlign w:val="top"/>
          </w:tcPr>
          <w:p>
            <w:pPr>
              <w:spacing w:after="0" w:line="240" w:lineRule="auto"/>
            </w:pPr>
            <w:r>
              <w:rPr>
                <w:color w:val="222222"/>
                <w:sz w:val="15"/>
              </w:rPr>
              <w:t>U.S., state, county and smaller geographies</w:t>
            </w:r>
          </w:p>
        </w:tc>
        <w:tc>
          <w:tcPr>
            <w:tcW w:type="dxa" w:w="936"/>
            <w:tcMar>
              <w:top w:w="60" w:type="dxa"/>
              <w:start w:w="70" w:type="dxa"/>
              <w:bottom w:w="60" w:type="dxa"/>
              <w:end w:w="70" w:type="dxa"/>
            </w:tcMar>
            <w:vAlign w:val="top"/>
          </w:tcPr>
          <w:p>
            <w:pPr>
              <w:spacing w:after="0" w:line="240" w:lineRule="auto"/>
            </w:pPr>
            <w:r>
              <w:rPr>
                <w:color w:val="222222"/>
                <w:sz w:val="15"/>
              </w:rPr>
              <w:t>Annual</w:t>
            </w:r>
          </w:p>
        </w:tc>
        <w:tc>
          <w:tcPr>
            <w:tcW w:type="dxa" w:w="2088"/>
            <w:tcMar>
              <w:top w:w="60" w:type="dxa"/>
              <w:start w:w="70" w:type="dxa"/>
              <w:bottom w:w="60" w:type="dxa"/>
              <w:end w:w="70" w:type="dxa"/>
            </w:tcMar>
            <w:vAlign w:val="top"/>
          </w:tcPr>
          <w:p>
            <w:pPr>
              <w:spacing w:after="0" w:line="240" w:lineRule="auto"/>
            </w:pPr>
            <w:r>
              <w:rPr>
                <w:color w:val="222222"/>
                <w:sz w:val="15"/>
              </w:rPr>
              <w:t>Preserve margins of error; 5-year estimates pool 60 months.</w:t>
            </w:r>
          </w:p>
        </w:tc>
      </w:tr>
      <w:tr>
        <w:trPr>
          <w:cantSplit/>
        </w:trPr>
        <w:tc>
          <w:tcPr>
            <w:tcW w:type="dxa" w:w="1944"/>
            <w:tcMar>
              <w:top w:w="60" w:type="dxa"/>
              <w:start w:w="70" w:type="dxa"/>
              <w:bottom w:w="60" w:type="dxa"/>
              <w:end w:w="70" w:type="dxa"/>
            </w:tcMar>
            <w:vAlign w:val="top"/>
            <w:shd w:fill="F2F2F2"/>
          </w:tcPr>
          <w:p>
            <w:pPr>
              <w:spacing w:after="0" w:line="240" w:lineRule="auto"/>
            </w:pPr>
            <w:r>
              <w:rPr>
                <w:color w:val="222222"/>
                <w:sz w:val="15"/>
              </w:rPr>
              <w:t>CHAS 2018-2022</w:t>
            </w:r>
          </w:p>
        </w:tc>
        <w:tc>
          <w:tcPr>
            <w:tcW w:type="dxa" w:w="1440"/>
            <w:tcMar>
              <w:top w:w="60" w:type="dxa"/>
              <w:start w:w="70" w:type="dxa"/>
              <w:bottom w:w="60" w:type="dxa"/>
              <w:end w:w="70" w:type="dxa"/>
            </w:tcMar>
            <w:vAlign w:val="top"/>
            <w:shd w:fill="F2F2F2"/>
          </w:tcPr>
          <w:p>
            <w:pPr>
              <w:spacing w:after="0" w:line="240" w:lineRule="auto"/>
            </w:pPr>
            <w:r>
              <w:rPr>
                <w:color w:val="222222"/>
                <w:sz w:val="15"/>
              </w:rPr>
              <w:t>HUD</w:t>
            </w:r>
          </w:p>
        </w:tc>
        <w:tc>
          <w:tcPr>
            <w:tcW w:type="dxa" w:w="2376"/>
            <w:tcMar>
              <w:top w:w="60" w:type="dxa"/>
              <w:start w:w="70" w:type="dxa"/>
              <w:bottom w:w="60" w:type="dxa"/>
              <w:end w:w="70" w:type="dxa"/>
            </w:tcMar>
            <w:vAlign w:val="top"/>
            <w:shd w:fill="F2F2F2"/>
          </w:tcPr>
          <w:p>
            <w:pPr>
              <w:spacing w:after="0" w:line="240" w:lineRule="auto"/>
            </w:pPr>
            <w:r>
              <w:rPr>
                <w:color w:val="222222"/>
                <w:sz w:val="15"/>
              </w:rPr>
              <w:t>Low-income housing need, housing problems, and burden by income and tenure</w:t>
            </w:r>
          </w:p>
        </w:tc>
        <w:tc>
          <w:tcPr>
            <w:tcW w:type="dxa" w:w="1800"/>
            <w:tcMar>
              <w:top w:w="60" w:type="dxa"/>
              <w:start w:w="70" w:type="dxa"/>
              <w:bottom w:w="60" w:type="dxa"/>
              <w:end w:w="70" w:type="dxa"/>
            </w:tcMar>
            <w:vAlign w:val="top"/>
            <w:shd w:fill="F2F2F2"/>
          </w:tcPr>
          <w:p>
            <w:pPr>
              <w:spacing w:after="0" w:line="240" w:lineRule="auto"/>
            </w:pPr>
            <w:r>
              <w:rPr>
                <w:color w:val="222222"/>
                <w:sz w:val="15"/>
              </w:rPr>
              <w:t>U.S., state, county, place, tract and other geographies</w:t>
            </w:r>
          </w:p>
        </w:tc>
        <w:tc>
          <w:tcPr>
            <w:tcW w:type="dxa" w:w="936"/>
            <w:tcMar>
              <w:top w:w="60" w:type="dxa"/>
              <w:start w:w="70" w:type="dxa"/>
              <w:bottom w:w="60" w:type="dxa"/>
              <w:end w:w="70" w:type="dxa"/>
            </w:tcMar>
            <w:vAlign w:val="top"/>
            <w:shd w:fill="F2F2F2"/>
          </w:tcPr>
          <w:p>
            <w:pPr>
              <w:spacing w:after="0" w:line="240" w:lineRule="auto"/>
            </w:pPr>
            <w:r>
              <w:rPr>
                <w:color w:val="222222"/>
                <w:sz w:val="15"/>
              </w:rPr>
              <w:t>Irregular</w:t>
            </w:r>
          </w:p>
        </w:tc>
        <w:tc>
          <w:tcPr>
            <w:tcW w:type="dxa" w:w="2088"/>
            <w:tcMar>
              <w:top w:w="60" w:type="dxa"/>
              <w:start w:w="70" w:type="dxa"/>
              <w:bottom w:w="60" w:type="dxa"/>
              <w:end w:w="70" w:type="dxa"/>
            </w:tcMar>
            <w:vAlign w:val="top"/>
            <w:shd w:fill="F2F2F2"/>
          </w:tcPr>
          <w:p>
            <w:pPr>
              <w:spacing w:after="0" w:line="240" w:lineRule="auto"/>
            </w:pPr>
            <w:r>
              <w:rPr>
                <w:color w:val="222222"/>
                <w:sz w:val="15"/>
              </w:rPr>
              <w:t>Counts use disclosure controls and rounding; use published totals.</w:t>
            </w:r>
          </w:p>
        </w:tc>
      </w:tr>
      <w:tr>
        <w:trPr>
          <w:cantSplit/>
        </w:trPr>
        <w:tc>
          <w:tcPr>
            <w:tcW w:type="dxa" w:w="1944"/>
            <w:tcMar>
              <w:top w:w="60" w:type="dxa"/>
              <w:start w:w="70" w:type="dxa"/>
              <w:bottom w:w="60" w:type="dxa"/>
              <w:end w:w="70" w:type="dxa"/>
            </w:tcMar>
            <w:vAlign w:val="top"/>
          </w:tcPr>
          <w:p>
            <w:pPr>
              <w:spacing w:after="0" w:line="240" w:lineRule="auto"/>
            </w:pPr>
            <w:r>
              <w:rPr>
                <w:color w:val="222222"/>
                <w:sz w:val="15"/>
              </w:rPr>
              <w:t>Building Permits Survey</w:t>
            </w:r>
          </w:p>
        </w:tc>
        <w:tc>
          <w:tcPr>
            <w:tcW w:type="dxa" w:w="1440"/>
            <w:tcMar>
              <w:top w:w="60" w:type="dxa"/>
              <w:start w:w="70" w:type="dxa"/>
              <w:bottom w:w="60" w:type="dxa"/>
              <w:end w:w="70" w:type="dxa"/>
            </w:tcMar>
            <w:vAlign w:val="top"/>
          </w:tcPr>
          <w:p>
            <w:pPr>
              <w:spacing w:after="0" w:line="240" w:lineRule="auto"/>
            </w:pPr>
            <w:r>
              <w:rPr>
                <w:color w:val="222222"/>
                <w:sz w:val="15"/>
              </w:rPr>
              <w:t>U.S. Census Bureau</w:t>
            </w:r>
          </w:p>
        </w:tc>
        <w:tc>
          <w:tcPr>
            <w:tcW w:type="dxa" w:w="2376"/>
            <w:tcMar>
              <w:top w:w="60" w:type="dxa"/>
              <w:start w:w="70" w:type="dxa"/>
              <w:bottom w:w="60" w:type="dxa"/>
              <w:end w:w="70" w:type="dxa"/>
            </w:tcMar>
            <w:vAlign w:val="top"/>
          </w:tcPr>
          <w:p>
            <w:pPr>
              <w:spacing w:after="0" w:line="240" w:lineRule="auto"/>
            </w:pPr>
            <w:r>
              <w:rPr>
                <w:color w:val="222222"/>
                <w:sz w:val="15"/>
              </w:rPr>
              <w:t>Authorized residential units and structure type</w:t>
            </w:r>
          </w:p>
        </w:tc>
        <w:tc>
          <w:tcPr>
            <w:tcW w:type="dxa" w:w="1800"/>
            <w:tcMar>
              <w:top w:w="60" w:type="dxa"/>
              <w:start w:w="70" w:type="dxa"/>
              <w:bottom w:w="60" w:type="dxa"/>
              <w:end w:w="70" w:type="dxa"/>
            </w:tcMar>
            <w:vAlign w:val="top"/>
          </w:tcPr>
          <w:p>
            <w:pPr>
              <w:spacing w:after="0" w:line="240" w:lineRule="auto"/>
            </w:pPr>
            <w:r>
              <w:rPr>
                <w:color w:val="222222"/>
                <w:sz w:val="15"/>
              </w:rPr>
              <w:t>U.S., state, metro, county and place</w:t>
            </w:r>
          </w:p>
        </w:tc>
        <w:tc>
          <w:tcPr>
            <w:tcW w:type="dxa" w:w="936"/>
            <w:tcMar>
              <w:top w:w="60" w:type="dxa"/>
              <w:start w:w="70" w:type="dxa"/>
              <w:bottom w:w="60" w:type="dxa"/>
              <w:end w:w="70" w:type="dxa"/>
            </w:tcMar>
            <w:vAlign w:val="top"/>
          </w:tcPr>
          <w:p>
            <w:pPr>
              <w:spacing w:after="0" w:line="240" w:lineRule="auto"/>
            </w:pPr>
            <w:r>
              <w:rPr>
                <w:color w:val="222222"/>
                <w:sz w:val="15"/>
              </w:rPr>
              <w:t>Monthly and annual</w:t>
            </w:r>
          </w:p>
        </w:tc>
        <w:tc>
          <w:tcPr>
            <w:tcW w:type="dxa" w:w="2088"/>
            <w:tcMar>
              <w:top w:w="60" w:type="dxa"/>
              <w:start w:w="70" w:type="dxa"/>
              <w:bottom w:w="60" w:type="dxa"/>
              <w:end w:w="70" w:type="dxa"/>
            </w:tcMar>
            <w:vAlign w:val="top"/>
          </w:tcPr>
          <w:p>
            <w:pPr>
              <w:spacing w:after="0" w:line="240" w:lineRule="auto"/>
            </w:pPr>
            <w:r>
              <w:rPr>
                <w:color w:val="222222"/>
                <w:sz w:val="15"/>
              </w:rPr>
              <w:t>Permits are authorizations, not starts or completions.</w:t>
            </w:r>
          </w:p>
        </w:tc>
      </w:tr>
      <w:tr>
        <w:trPr>
          <w:cantSplit/>
        </w:trPr>
        <w:tc>
          <w:tcPr>
            <w:tcW w:type="dxa" w:w="1944"/>
            <w:tcMar>
              <w:top w:w="60" w:type="dxa"/>
              <w:start w:w="70" w:type="dxa"/>
              <w:bottom w:w="60" w:type="dxa"/>
              <w:end w:w="70" w:type="dxa"/>
            </w:tcMar>
            <w:vAlign w:val="top"/>
            <w:shd w:fill="F2F2F2"/>
          </w:tcPr>
          <w:p>
            <w:pPr>
              <w:spacing w:after="0" w:line="240" w:lineRule="auto"/>
            </w:pPr>
            <w:r>
              <w:rPr>
                <w:color w:val="222222"/>
                <w:sz w:val="15"/>
              </w:rPr>
              <w:t>Vintage 2025 Housing Unit Estimates</w:t>
            </w:r>
          </w:p>
        </w:tc>
        <w:tc>
          <w:tcPr>
            <w:tcW w:type="dxa" w:w="1440"/>
            <w:tcMar>
              <w:top w:w="60" w:type="dxa"/>
              <w:start w:w="70" w:type="dxa"/>
              <w:bottom w:w="60" w:type="dxa"/>
              <w:end w:w="70" w:type="dxa"/>
            </w:tcMar>
            <w:vAlign w:val="top"/>
            <w:shd w:fill="F2F2F2"/>
          </w:tcPr>
          <w:p>
            <w:pPr>
              <w:spacing w:after="0" w:line="240" w:lineRule="auto"/>
            </w:pPr>
            <w:r>
              <w:rPr>
                <w:color w:val="222222"/>
                <w:sz w:val="15"/>
              </w:rPr>
              <w:t>U.S. Census Bureau</w:t>
            </w:r>
          </w:p>
        </w:tc>
        <w:tc>
          <w:tcPr>
            <w:tcW w:type="dxa" w:w="2376"/>
            <w:tcMar>
              <w:top w:w="60" w:type="dxa"/>
              <w:start w:w="70" w:type="dxa"/>
              <w:bottom w:w="60" w:type="dxa"/>
              <w:end w:w="70" w:type="dxa"/>
            </w:tcMar>
            <w:vAlign w:val="top"/>
            <w:shd w:fill="F2F2F2"/>
          </w:tcPr>
          <w:p>
            <w:pPr>
              <w:spacing w:after="0" w:line="240" w:lineRule="auto"/>
            </w:pPr>
            <w:r>
              <w:rPr>
                <w:color w:val="222222"/>
                <w:sz w:val="15"/>
              </w:rPr>
              <w:t>Housing-stock level and growth</w:t>
            </w:r>
          </w:p>
        </w:tc>
        <w:tc>
          <w:tcPr>
            <w:tcW w:type="dxa" w:w="1800"/>
            <w:tcMar>
              <w:top w:w="60" w:type="dxa"/>
              <w:start w:w="70" w:type="dxa"/>
              <w:bottom w:w="60" w:type="dxa"/>
              <w:end w:w="70" w:type="dxa"/>
            </w:tcMar>
            <w:vAlign w:val="top"/>
            <w:shd w:fill="F2F2F2"/>
          </w:tcPr>
          <w:p>
            <w:pPr>
              <w:spacing w:after="0" w:line="240" w:lineRule="auto"/>
            </w:pPr>
            <w:r>
              <w:rPr>
                <w:color w:val="222222"/>
                <w:sz w:val="15"/>
              </w:rPr>
              <w:t>U.S., state and county</w:t>
            </w:r>
          </w:p>
        </w:tc>
        <w:tc>
          <w:tcPr>
            <w:tcW w:type="dxa" w:w="936"/>
            <w:tcMar>
              <w:top w:w="60" w:type="dxa"/>
              <w:start w:w="70" w:type="dxa"/>
              <w:bottom w:w="60" w:type="dxa"/>
              <w:end w:w="70" w:type="dxa"/>
            </w:tcMar>
            <w:vAlign w:val="top"/>
            <w:shd w:fill="F2F2F2"/>
          </w:tcPr>
          <w:p>
            <w:pPr>
              <w:spacing w:after="0" w:line="240" w:lineRule="auto"/>
            </w:pPr>
            <w:r>
              <w:rPr>
                <w:color w:val="222222"/>
                <w:sz w:val="15"/>
              </w:rPr>
              <w:t>Annual</w:t>
            </w:r>
          </w:p>
        </w:tc>
        <w:tc>
          <w:tcPr>
            <w:tcW w:type="dxa" w:w="2088"/>
            <w:tcMar>
              <w:top w:w="60" w:type="dxa"/>
              <w:start w:w="70" w:type="dxa"/>
              <w:bottom w:w="60" w:type="dxa"/>
              <w:end w:w="70" w:type="dxa"/>
            </w:tcMar>
            <w:vAlign w:val="top"/>
            <w:shd w:fill="F2F2F2"/>
          </w:tcPr>
          <w:p>
            <w:pPr>
              <w:spacing w:after="0" w:line="240" w:lineRule="auto"/>
            </w:pPr>
            <w:r>
              <w:rPr>
                <w:color w:val="222222"/>
                <w:sz w:val="15"/>
              </w:rPr>
              <w:t>Use one vintage only; newer vintages supersede earlier estimates.</w:t>
            </w:r>
          </w:p>
        </w:tc>
      </w:tr>
      <w:tr>
        <w:trPr>
          <w:cantSplit/>
        </w:trPr>
        <w:tc>
          <w:tcPr>
            <w:tcW w:type="dxa" w:w="1944"/>
            <w:tcMar>
              <w:top w:w="60" w:type="dxa"/>
              <w:start w:w="70" w:type="dxa"/>
              <w:bottom w:w="60" w:type="dxa"/>
              <w:end w:w="70" w:type="dxa"/>
            </w:tcMar>
            <w:vAlign w:val="top"/>
          </w:tcPr>
          <w:p>
            <w:pPr>
              <w:spacing w:after="0" w:line="240" w:lineRule="auto"/>
            </w:pPr>
            <w:r>
              <w:rPr>
                <w:color w:val="222222"/>
                <w:sz w:val="15"/>
              </w:rPr>
              <w:t>Vintage 2025 Population Estimates</w:t>
            </w:r>
          </w:p>
        </w:tc>
        <w:tc>
          <w:tcPr>
            <w:tcW w:type="dxa" w:w="1440"/>
            <w:tcMar>
              <w:top w:w="60" w:type="dxa"/>
              <w:start w:w="70" w:type="dxa"/>
              <w:bottom w:w="60" w:type="dxa"/>
              <w:end w:w="70" w:type="dxa"/>
            </w:tcMar>
            <w:vAlign w:val="top"/>
          </w:tcPr>
          <w:p>
            <w:pPr>
              <w:spacing w:after="0" w:line="240" w:lineRule="auto"/>
            </w:pPr>
            <w:r>
              <w:rPr>
                <w:color w:val="222222"/>
                <w:sz w:val="15"/>
              </w:rPr>
              <w:t>U.S. Census Bureau</w:t>
            </w:r>
          </w:p>
        </w:tc>
        <w:tc>
          <w:tcPr>
            <w:tcW w:type="dxa" w:w="2376"/>
            <w:tcMar>
              <w:top w:w="60" w:type="dxa"/>
              <w:start w:w="70" w:type="dxa"/>
              <w:bottom w:w="60" w:type="dxa"/>
              <w:end w:w="70" w:type="dxa"/>
            </w:tcMar>
            <w:vAlign w:val="top"/>
          </w:tcPr>
          <w:p>
            <w:pPr>
              <w:spacing w:after="0" w:line="240" w:lineRule="auto"/>
            </w:pPr>
            <w:r>
              <w:rPr>
                <w:color w:val="222222"/>
                <w:sz w:val="15"/>
              </w:rPr>
              <w:t>Population level, growth, and denominator measures</w:t>
            </w:r>
          </w:p>
        </w:tc>
        <w:tc>
          <w:tcPr>
            <w:tcW w:type="dxa" w:w="1800"/>
            <w:tcMar>
              <w:top w:w="60" w:type="dxa"/>
              <w:start w:w="70" w:type="dxa"/>
              <w:bottom w:w="60" w:type="dxa"/>
              <w:end w:w="70" w:type="dxa"/>
            </w:tcMar>
            <w:vAlign w:val="top"/>
          </w:tcPr>
          <w:p>
            <w:pPr>
              <w:spacing w:after="0" w:line="240" w:lineRule="auto"/>
            </w:pPr>
            <w:r>
              <w:rPr>
                <w:color w:val="222222"/>
                <w:sz w:val="15"/>
              </w:rPr>
              <w:t>U.S., state and county</w:t>
            </w:r>
          </w:p>
        </w:tc>
        <w:tc>
          <w:tcPr>
            <w:tcW w:type="dxa" w:w="936"/>
            <w:tcMar>
              <w:top w:w="60" w:type="dxa"/>
              <w:start w:w="70" w:type="dxa"/>
              <w:bottom w:w="60" w:type="dxa"/>
              <w:end w:w="70" w:type="dxa"/>
            </w:tcMar>
            <w:vAlign w:val="top"/>
          </w:tcPr>
          <w:p>
            <w:pPr>
              <w:spacing w:after="0" w:line="240" w:lineRule="auto"/>
            </w:pPr>
            <w:r>
              <w:rPr>
                <w:color w:val="222222"/>
                <w:sz w:val="15"/>
              </w:rPr>
              <w:t>Annual</w:t>
            </w:r>
          </w:p>
        </w:tc>
        <w:tc>
          <w:tcPr>
            <w:tcW w:type="dxa" w:w="2088"/>
            <w:tcMar>
              <w:top w:w="60" w:type="dxa"/>
              <w:start w:w="70" w:type="dxa"/>
              <w:bottom w:w="60" w:type="dxa"/>
              <w:end w:w="70" w:type="dxa"/>
            </w:tcMar>
            <w:vAlign w:val="top"/>
          </w:tcPr>
          <w:p>
            <w:pPr>
              <w:spacing w:after="0" w:line="240" w:lineRule="auto"/>
            </w:pPr>
            <w:r>
              <w:rPr>
                <w:color w:val="222222"/>
                <w:sz w:val="15"/>
              </w:rPr>
              <w:t>Use one vintage only; values are revised across the time series.</w:t>
            </w:r>
          </w:p>
        </w:tc>
      </w:tr>
      <w:tr>
        <w:trPr>
          <w:cantSplit/>
        </w:trPr>
        <w:tc>
          <w:tcPr>
            <w:tcW w:type="dxa" w:w="1944"/>
            <w:tcMar>
              <w:top w:w="60" w:type="dxa"/>
              <w:start w:w="70" w:type="dxa"/>
              <w:bottom w:w="60" w:type="dxa"/>
              <w:end w:w="70" w:type="dxa"/>
            </w:tcMar>
            <w:vAlign w:val="top"/>
            <w:shd w:fill="F2F2F2"/>
          </w:tcPr>
          <w:p>
            <w:pPr>
              <w:spacing w:after="0" w:line="240" w:lineRule="auto"/>
            </w:pPr>
            <w:r>
              <w:rPr>
                <w:color w:val="222222"/>
                <w:sz w:val="15"/>
              </w:rPr>
              <w:t>The Gap 2026</w:t>
            </w:r>
          </w:p>
        </w:tc>
        <w:tc>
          <w:tcPr>
            <w:tcW w:type="dxa" w:w="1440"/>
            <w:tcMar>
              <w:top w:w="60" w:type="dxa"/>
              <w:start w:w="70" w:type="dxa"/>
              <w:bottom w:w="60" w:type="dxa"/>
              <w:end w:w="70" w:type="dxa"/>
            </w:tcMar>
            <w:vAlign w:val="top"/>
            <w:shd w:fill="F2F2F2"/>
          </w:tcPr>
          <w:p>
            <w:pPr>
              <w:spacing w:after="0" w:line="240" w:lineRule="auto"/>
            </w:pPr>
            <w:r>
              <w:rPr>
                <w:color w:val="222222"/>
                <w:sz w:val="15"/>
              </w:rPr>
              <w:t>NLIHC</w:t>
            </w:r>
          </w:p>
        </w:tc>
        <w:tc>
          <w:tcPr>
            <w:tcW w:type="dxa" w:w="2376"/>
            <w:tcMar>
              <w:top w:w="60" w:type="dxa"/>
              <w:start w:w="70" w:type="dxa"/>
              <w:bottom w:w="60" w:type="dxa"/>
              <w:end w:w="70" w:type="dxa"/>
            </w:tcMar>
            <w:vAlign w:val="top"/>
            <w:shd w:fill="F2F2F2"/>
          </w:tcPr>
          <w:p>
            <w:pPr>
              <w:spacing w:after="0" w:line="240" w:lineRule="auto"/>
            </w:pPr>
            <w:r>
              <w:rPr>
                <w:color w:val="222222"/>
                <w:sz w:val="15"/>
              </w:rPr>
              <w:t>Extremely low-income rental shortage and homes per 100 renter households</w:t>
            </w:r>
          </w:p>
        </w:tc>
        <w:tc>
          <w:tcPr>
            <w:tcW w:type="dxa" w:w="1800"/>
            <w:tcMar>
              <w:top w:w="60" w:type="dxa"/>
              <w:start w:w="70" w:type="dxa"/>
              <w:bottom w:w="60" w:type="dxa"/>
              <w:end w:w="70" w:type="dxa"/>
            </w:tcMar>
            <w:vAlign w:val="top"/>
            <w:shd w:fill="F2F2F2"/>
          </w:tcPr>
          <w:p>
            <w:pPr>
              <w:spacing w:after="0" w:line="240" w:lineRule="auto"/>
            </w:pPr>
            <w:r>
              <w:rPr>
                <w:color w:val="222222"/>
                <w:sz w:val="15"/>
              </w:rPr>
              <w:t>U.S., state and major metro</w:t>
            </w:r>
          </w:p>
        </w:tc>
        <w:tc>
          <w:tcPr>
            <w:tcW w:type="dxa" w:w="936"/>
            <w:tcMar>
              <w:top w:w="60" w:type="dxa"/>
              <w:start w:w="70" w:type="dxa"/>
              <w:bottom w:w="60" w:type="dxa"/>
              <w:end w:w="70" w:type="dxa"/>
            </w:tcMar>
            <w:vAlign w:val="top"/>
            <w:shd w:fill="F2F2F2"/>
          </w:tcPr>
          <w:p>
            <w:pPr>
              <w:spacing w:after="0" w:line="240" w:lineRule="auto"/>
            </w:pPr>
            <w:r>
              <w:rPr>
                <w:color w:val="222222"/>
                <w:sz w:val="15"/>
              </w:rPr>
              <w:t>Annual report</w:t>
            </w:r>
          </w:p>
        </w:tc>
        <w:tc>
          <w:tcPr>
            <w:tcW w:type="dxa" w:w="2088"/>
            <w:tcMar>
              <w:top w:w="60" w:type="dxa"/>
              <w:start w:w="70" w:type="dxa"/>
              <w:bottom w:w="60" w:type="dxa"/>
              <w:end w:w="70" w:type="dxa"/>
            </w:tcMar>
            <w:vAlign w:val="top"/>
            <w:shd w:fill="F2F2F2"/>
          </w:tcPr>
          <w:p>
            <w:pPr>
              <w:spacing w:after="0" w:line="240" w:lineRule="auto"/>
            </w:pPr>
            <w:r>
              <w:rPr>
                <w:color w:val="222222"/>
                <w:sz w:val="15"/>
              </w:rPr>
              <w:t>Use as a benchmark; do not allocate metro or state values to counties.</w:t>
            </w:r>
          </w:p>
        </w:tc>
      </w:tr>
      <w:tr>
        <w:trPr>
          <w:cantSplit/>
        </w:trPr>
        <w:tc>
          <w:tcPr>
            <w:tcW w:type="dxa" w:w="1944"/>
            <w:tcMar>
              <w:top w:w="60" w:type="dxa"/>
              <w:start w:w="70" w:type="dxa"/>
              <w:bottom w:w="60" w:type="dxa"/>
              <w:end w:w="70" w:type="dxa"/>
            </w:tcMar>
            <w:vAlign w:val="top"/>
          </w:tcPr>
          <w:p>
            <w:pPr>
              <w:spacing w:after="0" w:line="240" w:lineRule="auto"/>
            </w:pPr>
            <w:r>
              <w:rPr>
                <w:color w:val="222222"/>
                <w:sz w:val="15"/>
              </w:rPr>
              <w:t>TIGER/Line Boundaries</w:t>
            </w:r>
          </w:p>
        </w:tc>
        <w:tc>
          <w:tcPr>
            <w:tcW w:type="dxa" w:w="1440"/>
            <w:tcMar>
              <w:top w:w="60" w:type="dxa"/>
              <w:start w:w="70" w:type="dxa"/>
              <w:bottom w:w="60" w:type="dxa"/>
              <w:end w:w="70" w:type="dxa"/>
            </w:tcMar>
            <w:vAlign w:val="top"/>
          </w:tcPr>
          <w:p>
            <w:pPr>
              <w:spacing w:after="0" w:line="240" w:lineRule="auto"/>
            </w:pPr>
            <w:r>
              <w:rPr>
                <w:color w:val="222222"/>
                <w:sz w:val="15"/>
              </w:rPr>
              <w:t>U.S. Census Bureau</w:t>
            </w:r>
          </w:p>
        </w:tc>
        <w:tc>
          <w:tcPr>
            <w:tcW w:type="dxa" w:w="2376"/>
            <w:tcMar>
              <w:top w:w="60" w:type="dxa"/>
              <w:start w:w="70" w:type="dxa"/>
              <w:bottom w:w="60" w:type="dxa"/>
              <w:end w:w="70" w:type="dxa"/>
            </w:tcMar>
            <w:vAlign w:val="top"/>
          </w:tcPr>
          <w:p>
            <w:pPr>
              <w:spacing w:after="0" w:line="240" w:lineRule="auto"/>
            </w:pPr>
            <w:r>
              <w:rPr>
                <w:color w:val="222222"/>
                <w:sz w:val="15"/>
              </w:rPr>
              <w:t>County geometry and geographic codes for mapping</w:t>
            </w:r>
          </w:p>
        </w:tc>
        <w:tc>
          <w:tcPr>
            <w:tcW w:type="dxa" w:w="1800"/>
            <w:tcMar>
              <w:top w:w="60" w:type="dxa"/>
              <w:start w:w="70" w:type="dxa"/>
              <w:bottom w:w="60" w:type="dxa"/>
              <w:end w:w="70" w:type="dxa"/>
            </w:tcMar>
            <w:vAlign w:val="top"/>
          </w:tcPr>
          <w:p>
            <w:pPr>
              <w:spacing w:after="0" w:line="240" w:lineRule="auto"/>
            </w:pPr>
            <w:r>
              <w:rPr>
                <w:color w:val="222222"/>
                <w:sz w:val="15"/>
              </w:rPr>
              <w:t>U.S. and territories</w:t>
            </w:r>
          </w:p>
        </w:tc>
        <w:tc>
          <w:tcPr>
            <w:tcW w:type="dxa" w:w="936"/>
            <w:tcMar>
              <w:top w:w="60" w:type="dxa"/>
              <w:start w:w="70" w:type="dxa"/>
              <w:bottom w:w="60" w:type="dxa"/>
              <w:end w:w="70" w:type="dxa"/>
            </w:tcMar>
            <w:vAlign w:val="top"/>
          </w:tcPr>
          <w:p>
            <w:pPr>
              <w:spacing w:after="0" w:line="240" w:lineRule="auto"/>
            </w:pPr>
            <w:r>
              <w:rPr>
                <w:color w:val="222222"/>
                <w:sz w:val="15"/>
              </w:rPr>
              <w:t>Annual</w:t>
            </w:r>
          </w:p>
        </w:tc>
        <w:tc>
          <w:tcPr>
            <w:tcW w:type="dxa" w:w="2088"/>
            <w:tcMar>
              <w:top w:w="60" w:type="dxa"/>
              <w:start w:w="70" w:type="dxa"/>
              <w:bottom w:w="60" w:type="dxa"/>
              <w:end w:w="70" w:type="dxa"/>
            </w:tcMar>
            <w:vAlign w:val="top"/>
          </w:tcPr>
          <w:p>
            <w:pPr>
              <w:spacing w:after="0" w:line="240" w:lineRule="auto"/>
            </w:pPr>
            <w:r>
              <w:rPr>
                <w:color w:val="222222"/>
                <w:sz w:val="15"/>
              </w:rPr>
              <w:t>Contains geography, not demographic measures; match boundary vintage.</w:t>
            </w:r>
          </w:p>
        </w:tc>
      </w:tr>
    </w:tbl>
    <w:p>
      <w:pPr>
        <w:pStyle w:val="Heading1"/>
        <w:keepNext/>
      </w:pPr>
      <w:r>
        <w:t>3. Essential KPI Dictionary</w:t>
      </w:r>
    </w:p>
    <w:tbl>
      <w:tblPr>
        <w:tblStyle w:val="TableGrid"/>
        <w:tblW w:type="auto" w:w="0"/>
        <w:jc w:val="center"/>
        <w:tblLayout w:type="fixed"/>
        <w:tblLook w:firstColumn="1" w:firstRow="1" w:lastColumn="0" w:lastRow="0" w:noHBand="0" w:noVBand="1" w:val="04A0"/>
      </w:tblPr>
      <w:tblGrid>
        <w:gridCol w:w="2570"/>
        <w:gridCol w:w="2570"/>
        <w:gridCol w:w="2570"/>
        <w:gridCol w:w="2570"/>
      </w:tblGrid>
      <w:tr>
        <w:trPr>
          <w:tblHeader w:val="true"/>
          <w:cantSplit/>
        </w:trPr>
        <w:tc>
          <w:tcPr>
            <w:tcW w:type="dxa" w:w="2232"/>
            <w:shd w:fill="17365D"/>
            <w:tcMar>
              <w:top w:w="70" w:type="dxa"/>
              <w:start w:w="70" w:type="dxa"/>
              <w:bottom w:w="70" w:type="dxa"/>
              <w:end w:w="70" w:type="dxa"/>
            </w:tcMar>
            <w:vAlign w:val="center"/>
          </w:tcPr>
          <w:p>
            <w:pPr>
              <w:spacing w:after="0"/>
              <w:jc w:val="left"/>
            </w:pPr>
            <w:r>
              <w:rPr>
                <w:b/>
                <w:color w:val="FFFFFF"/>
                <w:sz w:val="15"/>
              </w:rPr>
              <w:t>Indicator</w:t>
            </w:r>
          </w:p>
        </w:tc>
        <w:tc>
          <w:tcPr>
            <w:tcW w:type="dxa" w:w="1584"/>
            <w:shd w:fill="17365D"/>
            <w:tcMar>
              <w:top w:w="70" w:type="dxa"/>
              <w:start w:w="70" w:type="dxa"/>
              <w:bottom w:w="70" w:type="dxa"/>
              <w:end w:w="70" w:type="dxa"/>
            </w:tcMar>
            <w:vAlign w:val="center"/>
          </w:tcPr>
          <w:p>
            <w:pPr>
              <w:spacing w:after="0"/>
              <w:jc w:val="left"/>
            </w:pPr>
            <w:r>
              <w:rPr>
                <w:b/>
                <w:color w:val="FFFFFF"/>
                <w:sz w:val="15"/>
              </w:rPr>
              <w:t>Grain</w:t>
            </w:r>
          </w:p>
        </w:tc>
        <w:tc>
          <w:tcPr>
            <w:tcW w:type="dxa" w:w="3888"/>
            <w:shd w:fill="17365D"/>
            <w:tcMar>
              <w:top w:w="70" w:type="dxa"/>
              <w:start w:w="70" w:type="dxa"/>
              <w:bottom w:w="70" w:type="dxa"/>
              <w:end w:w="70" w:type="dxa"/>
            </w:tcMar>
            <w:vAlign w:val="center"/>
          </w:tcPr>
          <w:p>
            <w:pPr>
              <w:spacing w:after="0"/>
              <w:jc w:val="left"/>
            </w:pPr>
            <w:r>
              <w:rPr>
                <w:b/>
                <w:color w:val="FFFFFF"/>
                <w:sz w:val="15"/>
              </w:rPr>
              <w:t>Definition</w:t>
            </w:r>
          </w:p>
        </w:tc>
        <w:tc>
          <w:tcPr>
            <w:tcW w:type="dxa" w:w="3096"/>
            <w:shd w:fill="17365D"/>
            <w:tcMar>
              <w:top w:w="70" w:type="dxa"/>
              <w:start w:w="70" w:type="dxa"/>
              <w:bottom w:w="70" w:type="dxa"/>
              <w:end w:w="70" w:type="dxa"/>
            </w:tcMar>
            <w:vAlign w:val="center"/>
          </w:tcPr>
          <w:p>
            <w:pPr>
              <w:spacing w:after="0"/>
              <w:jc w:val="left"/>
            </w:pPr>
            <w:r>
              <w:rPr>
                <w:b/>
                <w:color w:val="FFFFFF"/>
                <w:sz w:val="15"/>
              </w:rPr>
              <w:t>Interpretation control</w:t>
            </w:r>
          </w:p>
        </w:tc>
      </w:tr>
      <w:tr>
        <w:trPr>
          <w:cantSplit/>
        </w:trPr>
        <w:tc>
          <w:tcPr>
            <w:tcW w:type="dxa" w:w="2232"/>
            <w:tcMar>
              <w:top w:w="60" w:type="dxa"/>
              <w:start w:w="70" w:type="dxa"/>
              <w:bottom w:w="60" w:type="dxa"/>
              <w:end w:w="70" w:type="dxa"/>
            </w:tcMar>
            <w:vAlign w:val="top"/>
          </w:tcPr>
          <w:p>
            <w:pPr>
              <w:spacing w:after="0" w:line="240" w:lineRule="auto"/>
            </w:pPr>
            <w:r>
              <w:rPr>
                <w:color w:val="222222"/>
                <w:sz w:val="15"/>
              </w:rPr>
              <w:t>Median household income</w:t>
            </w:r>
          </w:p>
        </w:tc>
        <w:tc>
          <w:tcPr>
            <w:tcW w:type="dxa" w:w="1584"/>
            <w:tcMar>
              <w:top w:w="60" w:type="dxa"/>
              <w:start w:w="70" w:type="dxa"/>
              <w:bottom w:w="60" w:type="dxa"/>
              <w:end w:w="70" w:type="dxa"/>
            </w:tcMar>
            <w:vAlign w:val="top"/>
          </w:tcPr>
          <w:p>
            <w:pPr>
              <w:spacing w:after="0" w:line="240" w:lineRule="auto"/>
            </w:pPr>
            <w:r>
              <w:rPr>
                <w:color w:val="222222"/>
                <w:sz w:val="15"/>
              </w:rPr>
              <w:t>County-year</w:t>
            </w:r>
          </w:p>
        </w:tc>
        <w:tc>
          <w:tcPr>
            <w:tcW w:type="dxa" w:w="3888"/>
            <w:tcMar>
              <w:top w:w="60" w:type="dxa"/>
              <w:start w:w="70" w:type="dxa"/>
              <w:bottom w:w="60" w:type="dxa"/>
              <w:end w:w="70" w:type="dxa"/>
            </w:tcMar>
            <w:vAlign w:val="top"/>
          </w:tcPr>
          <w:p>
            <w:pPr>
              <w:spacing w:after="0" w:line="240" w:lineRule="auto"/>
            </w:pPr>
            <w:r>
              <w:rPr>
                <w:color w:val="222222"/>
                <w:sz w:val="15"/>
              </w:rPr>
              <w:t>ACS published estimate</w:t>
            </w:r>
          </w:p>
        </w:tc>
        <w:tc>
          <w:tcPr>
            <w:tcW w:type="dxa" w:w="3096"/>
            <w:tcMar>
              <w:top w:w="60" w:type="dxa"/>
              <w:start w:w="70" w:type="dxa"/>
              <w:bottom w:w="60" w:type="dxa"/>
              <w:end w:w="70" w:type="dxa"/>
            </w:tcMar>
            <w:vAlign w:val="top"/>
          </w:tcPr>
          <w:p>
            <w:pPr>
              <w:spacing w:after="0" w:line="240" w:lineRule="auto"/>
            </w:pPr>
            <w:r>
              <w:rPr>
                <w:color w:val="222222"/>
                <w:sz w:val="15"/>
              </w:rPr>
              <w:t>Income context; retain MOE.</w:t>
            </w:r>
          </w:p>
        </w:tc>
      </w:tr>
      <w:tr>
        <w:trPr>
          <w:cantSplit/>
        </w:trPr>
        <w:tc>
          <w:tcPr>
            <w:tcW w:type="dxa" w:w="2232"/>
            <w:tcMar>
              <w:top w:w="60" w:type="dxa"/>
              <w:start w:w="70" w:type="dxa"/>
              <w:bottom w:w="60" w:type="dxa"/>
              <w:end w:w="70" w:type="dxa"/>
            </w:tcMar>
            <w:vAlign w:val="top"/>
            <w:shd w:fill="F2F2F2"/>
          </w:tcPr>
          <w:p>
            <w:pPr>
              <w:spacing w:after="0" w:line="240" w:lineRule="auto"/>
            </w:pPr>
            <w:r>
              <w:rPr>
                <w:color w:val="222222"/>
                <w:sz w:val="15"/>
              </w:rPr>
              <w:t>Median gross rent</w:t>
            </w:r>
          </w:p>
        </w:tc>
        <w:tc>
          <w:tcPr>
            <w:tcW w:type="dxa" w:w="1584"/>
            <w:tcMar>
              <w:top w:w="60" w:type="dxa"/>
              <w:start w:w="70" w:type="dxa"/>
              <w:bottom w:w="60" w:type="dxa"/>
              <w:end w:w="70" w:type="dxa"/>
            </w:tcMar>
            <w:vAlign w:val="top"/>
            <w:shd w:fill="F2F2F2"/>
          </w:tcPr>
          <w:p>
            <w:pPr>
              <w:spacing w:after="0" w:line="240" w:lineRule="auto"/>
            </w:pPr>
            <w:r>
              <w:rPr>
                <w:color w:val="222222"/>
                <w:sz w:val="15"/>
              </w:rPr>
              <w:t>County-year</w:t>
            </w:r>
          </w:p>
        </w:tc>
        <w:tc>
          <w:tcPr>
            <w:tcW w:type="dxa" w:w="3888"/>
            <w:tcMar>
              <w:top w:w="60" w:type="dxa"/>
              <w:start w:w="70" w:type="dxa"/>
              <w:bottom w:w="60" w:type="dxa"/>
              <w:end w:w="70" w:type="dxa"/>
            </w:tcMar>
            <w:vAlign w:val="top"/>
            <w:shd w:fill="F2F2F2"/>
          </w:tcPr>
          <w:p>
            <w:pPr>
              <w:spacing w:after="0" w:line="240" w:lineRule="auto"/>
            </w:pPr>
            <w:r>
              <w:rPr>
                <w:color w:val="222222"/>
                <w:sz w:val="15"/>
              </w:rPr>
              <w:t>ACS published estimate</w:t>
            </w:r>
          </w:p>
        </w:tc>
        <w:tc>
          <w:tcPr>
            <w:tcW w:type="dxa" w:w="3096"/>
            <w:tcMar>
              <w:top w:w="60" w:type="dxa"/>
              <w:start w:w="70" w:type="dxa"/>
              <w:bottom w:w="60" w:type="dxa"/>
              <w:end w:w="70" w:type="dxa"/>
            </w:tcMar>
            <w:vAlign w:val="top"/>
            <w:shd w:fill="F2F2F2"/>
          </w:tcPr>
          <w:p>
            <w:pPr>
              <w:spacing w:after="0" w:line="240" w:lineRule="auto"/>
            </w:pPr>
            <w:r>
              <w:rPr>
                <w:color w:val="222222"/>
                <w:sz w:val="15"/>
              </w:rPr>
              <w:t>Cash rent plus utilities under ACS definition.</w:t>
            </w:r>
          </w:p>
        </w:tc>
      </w:tr>
      <w:tr>
        <w:trPr>
          <w:cantSplit/>
        </w:trPr>
        <w:tc>
          <w:tcPr>
            <w:tcW w:type="dxa" w:w="2232"/>
            <w:tcMar>
              <w:top w:w="60" w:type="dxa"/>
              <w:start w:w="70" w:type="dxa"/>
              <w:bottom w:w="60" w:type="dxa"/>
              <w:end w:w="70" w:type="dxa"/>
            </w:tcMar>
            <w:vAlign w:val="top"/>
          </w:tcPr>
          <w:p>
            <w:pPr>
              <w:spacing w:after="0" w:line="240" w:lineRule="auto"/>
            </w:pPr>
            <w:r>
              <w:rPr>
                <w:color w:val="222222"/>
                <w:sz w:val="15"/>
              </w:rPr>
              <w:t>Renter cost-burden rate</w:t>
            </w:r>
          </w:p>
        </w:tc>
        <w:tc>
          <w:tcPr>
            <w:tcW w:type="dxa" w:w="1584"/>
            <w:tcMar>
              <w:top w:w="60" w:type="dxa"/>
              <w:start w:w="70" w:type="dxa"/>
              <w:bottom w:w="60" w:type="dxa"/>
              <w:end w:w="70" w:type="dxa"/>
            </w:tcMar>
            <w:vAlign w:val="top"/>
          </w:tcPr>
          <w:p>
            <w:pPr>
              <w:spacing w:after="0" w:line="240" w:lineRule="auto"/>
            </w:pPr>
            <w:r>
              <w:rPr>
                <w:color w:val="222222"/>
                <w:sz w:val="15"/>
              </w:rPr>
              <w:t>County-year</w:t>
            </w:r>
          </w:p>
        </w:tc>
        <w:tc>
          <w:tcPr>
            <w:tcW w:type="dxa" w:w="3888"/>
            <w:tcMar>
              <w:top w:w="60" w:type="dxa"/>
              <w:start w:w="70" w:type="dxa"/>
              <w:bottom w:w="60" w:type="dxa"/>
              <w:end w:w="70" w:type="dxa"/>
            </w:tcMar>
            <w:vAlign w:val="top"/>
          </w:tcPr>
          <w:p>
            <w:pPr>
              <w:spacing w:after="0" w:line="240" w:lineRule="auto"/>
            </w:pPr>
            <w:r>
              <w:rPr>
                <w:color w:val="222222"/>
                <w:sz w:val="15"/>
              </w:rPr>
              <w:t>Renter households paying at least 30% / renter households with burden computed</w:t>
            </w:r>
          </w:p>
        </w:tc>
        <w:tc>
          <w:tcPr>
            <w:tcW w:type="dxa" w:w="3096"/>
            <w:tcMar>
              <w:top w:w="60" w:type="dxa"/>
              <w:start w:w="70" w:type="dxa"/>
              <w:bottom w:w="60" w:type="dxa"/>
              <w:end w:w="70" w:type="dxa"/>
            </w:tcMar>
            <w:vAlign w:val="top"/>
          </w:tcPr>
          <w:p>
            <w:pPr>
              <w:spacing w:after="0" w:line="240" w:lineRule="auto"/>
            </w:pPr>
            <w:r>
              <w:rPr>
                <w:color w:val="222222"/>
                <w:sz w:val="15"/>
              </w:rPr>
              <w:t>Exclude "not computed" from denominator.</w:t>
            </w:r>
          </w:p>
        </w:tc>
      </w:tr>
      <w:tr>
        <w:trPr>
          <w:cantSplit/>
        </w:trPr>
        <w:tc>
          <w:tcPr>
            <w:tcW w:type="dxa" w:w="2232"/>
            <w:tcMar>
              <w:top w:w="60" w:type="dxa"/>
              <w:start w:w="70" w:type="dxa"/>
              <w:bottom w:w="60" w:type="dxa"/>
              <w:end w:w="70" w:type="dxa"/>
            </w:tcMar>
            <w:vAlign w:val="top"/>
            <w:shd w:fill="F2F2F2"/>
          </w:tcPr>
          <w:p>
            <w:pPr>
              <w:spacing w:after="0" w:line="240" w:lineRule="auto"/>
            </w:pPr>
            <w:r>
              <w:rPr>
                <w:color w:val="222222"/>
                <w:sz w:val="15"/>
              </w:rPr>
              <w:t>Severe renter burden rate</w:t>
            </w:r>
          </w:p>
        </w:tc>
        <w:tc>
          <w:tcPr>
            <w:tcW w:type="dxa" w:w="1584"/>
            <w:tcMar>
              <w:top w:w="60" w:type="dxa"/>
              <w:start w:w="70" w:type="dxa"/>
              <w:bottom w:w="60" w:type="dxa"/>
              <w:end w:w="70" w:type="dxa"/>
            </w:tcMar>
            <w:vAlign w:val="top"/>
            <w:shd w:fill="F2F2F2"/>
          </w:tcPr>
          <w:p>
            <w:pPr>
              <w:spacing w:after="0" w:line="240" w:lineRule="auto"/>
            </w:pPr>
            <w:r>
              <w:rPr>
                <w:color w:val="222222"/>
                <w:sz w:val="15"/>
              </w:rPr>
              <w:t>County-year</w:t>
            </w:r>
          </w:p>
        </w:tc>
        <w:tc>
          <w:tcPr>
            <w:tcW w:type="dxa" w:w="3888"/>
            <w:tcMar>
              <w:top w:w="60" w:type="dxa"/>
              <w:start w:w="70" w:type="dxa"/>
              <w:bottom w:w="60" w:type="dxa"/>
              <w:end w:w="70" w:type="dxa"/>
            </w:tcMar>
            <w:vAlign w:val="top"/>
            <w:shd w:fill="F2F2F2"/>
          </w:tcPr>
          <w:p>
            <w:pPr>
              <w:spacing w:after="0" w:line="240" w:lineRule="auto"/>
            </w:pPr>
            <w:r>
              <w:rPr>
                <w:color w:val="222222"/>
                <w:sz w:val="15"/>
              </w:rPr>
              <w:t>Renter households paying at least 50% / renter households with burden computed</w:t>
            </w:r>
          </w:p>
        </w:tc>
        <w:tc>
          <w:tcPr>
            <w:tcW w:type="dxa" w:w="3096"/>
            <w:tcMar>
              <w:top w:w="60" w:type="dxa"/>
              <w:start w:w="70" w:type="dxa"/>
              <w:bottom w:w="60" w:type="dxa"/>
              <w:end w:w="70" w:type="dxa"/>
            </w:tcMar>
            <w:vAlign w:val="top"/>
            <w:shd w:fill="F2F2F2"/>
          </w:tcPr>
          <w:p>
            <w:pPr>
              <w:spacing w:after="0" w:line="240" w:lineRule="auto"/>
            </w:pPr>
            <w:r>
              <w:rPr>
                <w:color w:val="222222"/>
                <w:sz w:val="15"/>
              </w:rPr>
              <w:t>Use correct category boundaries and derived uncertainty.</w:t>
            </w:r>
          </w:p>
        </w:tc>
      </w:tr>
      <w:tr>
        <w:trPr>
          <w:cantSplit/>
        </w:trPr>
        <w:tc>
          <w:tcPr>
            <w:tcW w:type="dxa" w:w="2232"/>
            <w:tcMar>
              <w:top w:w="60" w:type="dxa"/>
              <w:start w:w="70" w:type="dxa"/>
              <w:bottom w:w="60" w:type="dxa"/>
              <w:end w:w="70" w:type="dxa"/>
            </w:tcMar>
            <w:vAlign w:val="top"/>
          </w:tcPr>
          <w:p>
            <w:pPr>
              <w:spacing w:after="0" w:line="240" w:lineRule="auto"/>
            </w:pPr>
            <w:r>
              <w:rPr>
                <w:color w:val="222222"/>
                <w:sz w:val="15"/>
              </w:rPr>
              <w:t>ELI renter severe burden rate</w:t>
            </w:r>
          </w:p>
        </w:tc>
        <w:tc>
          <w:tcPr>
            <w:tcW w:type="dxa" w:w="1584"/>
            <w:tcMar>
              <w:top w:w="60" w:type="dxa"/>
              <w:start w:w="70" w:type="dxa"/>
              <w:bottom w:w="60" w:type="dxa"/>
              <w:end w:w="70" w:type="dxa"/>
            </w:tcMar>
            <w:vAlign w:val="top"/>
          </w:tcPr>
          <w:p>
            <w:pPr>
              <w:spacing w:after="0" w:line="240" w:lineRule="auto"/>
            </w:pPr>
            <w:r>
              <w:rPr>
                <w:color w:val="222222"/>
                <w:sz w:val="15"/>
              </w:rPr>
              <w:t>County-period</w:t>
            </w:r>
          </w:p>
        </w:tc>
        <w:tc>
          <w:tcPr>
            <w:tcW w:type="dxa" w:w="3888"/>
            <w:tcMar>
              <w:top w:w="60" w:type="dxa"/>
              <w:start w:w="70" w:type="dxa"/>
              <w:bottom w:w="60" w:type="dxa"/>
              <w:end w:w="70" w:type="dxa"/>
            </w:tcMar>
            <w:vAlign w:val="top"/>
          </w:tcPr>
          <w:p>
            <w:pPr>
              <w:spacing w:after="0" w:line="240" w:lineRule="auto"/>
            </w:pPr>
            <w:r>
              <w:rPr>
                <w:color w:val="222222"/>
                <w:sz w:val="15"/>
              </w:rPr>
              <w:t>Severely burdened ELI renters / ELI renter households</w:t>
            </w:r>
          </w:p>
        </w:tc>
        <w:tc>
          <w:tcPr>
            <w:tcW w:type="dxa" w:w="3096"/>
            <w:tcMar>
              <w:top w:w="60" w:type="dxa"/>
              <w:start w:w="70" w:type="dxa"/>
              <w:bottom w:w="60" w:type="dxa"/>
              <w:end w:w="70" w:type="dxa"/>
            </w:tcMar>
            <w:vAlign w:val="top"/>
          </w:tcPr>
          <w:p>
            <w:pPr>
              <w:spacing w:after="0" w:line="240" w:lineRule="auto"/>
            </w:pPr>
            <w:r>
              <w:rPr>
                <w:color w:val="222222"/>
                <w:sz w:val="15"/>
              </w:rPr>
              <w:t>CHAS rounding can affect small areas.</w:t>
            </w:r>
          </w:p>
        </w:tc>
      </w:tr>
      <w:tr>
        <w:trPr>
          <w:cantSplit/>
        </w:trPr>
        <w:tc>
          <w:tcPr>
            <w:tcW w:type="dxa" w:w="2232"/>
            <w:tcMar>
              <w:top w:w="60" w:type="dxa"/>
              <w:start w:w="70" w:type="dxa"/>
              <w:bottom w:w="60" w:type="dxa"/>
              <w:end w:w="70" w:type="dxa"/>
            </w:tcMar>
            <w:vAlign w:val="top"/>
            <w:shd w:fill="F2F2F2"/>
          </w:tcPr>
          <w:p>
            <w:pPr>
              <w:spacing w:after="0" w:line="240" w:lineRule="auto"/>
            </w:pPr>
            <w:r>
              <w:rPr>
                <w:color w:val="222222"/>
                <w:sz w:val="15"/>
              </w:rPr>
              <w:t>Permitted residential units</w:t>
            </w:r>
          </w:p>
        </w:tc>
        <w:tc>
          <w:tcPr>
            <w:tcW w:type="dxa" w:w="1584"/>
            <w:tcMar>
              <w:top w:w="60" w:type="dxa"/>
              <w:start w:w="70" w:type="dxa"/>
              <w:bottom w:w="60" w:type="dxa"/>
              <w:end w:w="70" w:type="dxa"/>
            </w:tcMar>
            <w:vAlign w:val="top"/>
            <w:shd w:fill="F2F2F2"/>
          </w:tcPr>
          <w:p>
            <w:pPr>
              <w:spacing w:after="0" w:line="240" w:lineRule="auto"/>
            </w:pPr>
            <w:r>
              <w:rPr>
                <w:color w:val="222222"/>
                <w:sz w:val="15"/>
              </w:rPr>
              <w:t>County-year</w:t>
            </w:r>
          </w:p>
        </w:tc>
        <w:tc>
          <w:tcPr>
            <w:tcW w:type="dxa" w:w="3888"/>
            <w:tcMar>
              <w:top w:w="60" w:type="dxa"/>
              <w:start w:w="70" w:type="dxa"/>
              <w:bottom w:w="60" w:type="dxa"/>
              <w:end w:w="70" w:type="dxa"/>
            </w:tcMar>
            <w:vAlign w:val="top"/>
            <w:shd w:fill="F2F2F2"/>
          </w:tcPr>
          <w:p>
            <w:pPr>
              <w:spacing w:after="0" w:line="240" w:lineRule="auto"/>
            </w:pPr>
            <w:r>
              <w:rPr>
                <w:color w:val="222222"/>
                <w:sz w:val="15"/>
              </w:rPr>
              <w:t>Total units authorized</w:t>
            </w:r>
          </w:p>
        </w:tc>
        <w:tc>
          <w:tcPr>
            <w:tcW w:type="dxa" w:w="3096"/>
            <w:tcMar>
              <w:top w:w="60" w:type="dxa"/>
              <w:start w:w="70" w:type="dxa"/>
              <w:bottom w:w="60" w:type="dxa"/>
              <w:end w:w="70" w:type="dxa"/>
            </w:tcMar>
            <w:vAlign w:val="top"/>
            <w:shd w:fill="F2F2F2"/>
          </w:tcPr>
          <w:p>
            <w:pPr>
              <w:spacing w:after="0" w:line="240" w:lineRule="auto"/>
            </w:pPr>
            <w:r>
              <w:rPr>
                <w:color w:val="222222"/>
                <w:sz w:val="15"/>
              </w:rPr>
              <w:t>Authorization, not construction completion.</w:t>
            </w:r>
          </w:p>
        </w:tc>
      </w:tr>
      <w:tr>
        <w:trPr>
          <w:cantSplit/>
        </w:trPr>
        <w:tc>
          <w:tcPr>
            <w:tcW w:type="dxa" w:w="2232"/>
            <w:tcMar>
              <w:top w:w="60" w:type="dxa"/>
              <w:start w:w="70" w:type="dxa"/>
              <w:bottom w:w="60" w:type="dxa"/>
              <w:end w:w="70" w:type="dxa"/>
            </w:tcMar>
            <w:vAlign w:val="top"/>
          </w:tcPr>
          <w:p>
            <w:pPr>
              <w:spacing w:after="0" w:line="240" w:lineRule="auto"/>
            </w:pPr>
            <w:r>
              <w:rPr>
                <w:color w:val="222222"/>
                <w:sz w:val="15"/>
              </w:rPr>
              <w:t>Permits per 1,000 population</w:t>
            </w:r>
          </w:p>
        </w:tc>
        <w:tc>
          <w:tcPr>
            <w:tcW w:type="dxa" w:w="1584"/>
            <w:tcMar>
              <w:top w:w="60" w:type="dxa"/>
              <w:start w:w="70" w:type="dxa"/>
              <w:bottom w:w="60" w:type="dxa"/>
              <w:end w:w="70" w:type="dxa"/>
            </w:tcMar>
            <w:vAlign w:val="top"/>
          </w:tcPr>
          <w:p>
            <w:pPr>
              <w:spacing w:after="0" w:line="240" w:lineRule="auto"/>
            </w:pPr>
            <w:r>
              <w:rPr>
                <w:color w:val="222222"/>
                <w:sz w:val="15"/>
              </w:rPr>
              <w:t>County-year</w:t>
            </w:r>
          </w:p>
        </w:tc>
        <w:tc>
          <w:tcPr>
            <w:tcW w:type="dxa" w:w="3888"/>
            <w:tcMar>
              <w:top w:w="60" w:type="dxa"/>
              <w:start w:w="70" w:type="dxa"/>
              <w:bottom w:w="60" w:type="dxa"/>
              <w:end w:w="70" w:type="dxa"/>
            </w:tcMar>
            <w:vAlign w:val="top"/>
          </w:tcPr>
          <w:p>
            <w:pPr>
              <w:spacing w:after="0" w:line="240" w:lineRule="auto"/>
            </w:pPr>
            <w:r>
              <w:rPr>
                <w:color w:val="222222"/>
                <w:sz w:val="15"/>
              </w:rPr>
              <w:t>Permitted units / population x 1,000</w:t>
            </w:r>
          </w:p>
        </w:tc>
        <w:tc>
          <w:tcPr>
            <w:tcW w:type="dxa" w:w="3096"/>
            <w:tcMar>
              <w:top w:w="60" w:type="dxa"/>
              <w:start w:w="70" w:type="dxa"/>
              <w:bottom w:w="60" w:type="dxa"/>
              <w:end w:w="70" w:type="dxa"/>
            </w:tcMar>
            <w:vAlign w:val="top"/>
          </w:tcPr>
          <w:p>
            <w:pPr>
              <w:spacing w:after="0" w:line="240" w:lineRule="auto"/>
            </w:pPr>
            <w:r>
              <w:rPr>
                <w:color w:val="222222"/>
                <w:sz w:val="15"/>
              </w:rPr>
              <w:t>Align permit and population periods.</w:t>
            </w:r>
          </w:p>
        </w:tc>
      </w:tr>
      <w:tr>
        <w:trPr>
          <w:cantSplit/>
        </w:trPr>
        <w:tc>
          <w:tcPr>
            <w:tcW w:type="dxa" w:w="2232"/>
            <w:tcMar>
              <w:top w:w="60" w:type="dxa"/>
              <w:start w:w="70" w:type="dxa"/>
              <w:bottom w:w="60" w:type="dxa"/>
              <w:end w:w="70" w:type="dxa"/>
            </w:tcMar>
            <w:vAlign w:val="top"/>
            <w:shd w:fill="F2F2F2"/>
          </w:tcPr>
          <w:p>
            <w:pPr>
              <w:spacing w:after="0" w:line="240" w:lineRule="auto"/>
            </w:pPr>
            <w:r>
              <w:rPr>
                <w:color w:val="222222"/>
                <w:sz w:val="15"/>
              </w:rPr>
              <w:t>Housing-unit growth</w:t>
            </w:r>
          </w:p>
        </w:tc>
        <w:tc>
          <w:tcPr>
            <w:tcW w:type="dxa" w:w="1584"/>
            <w:tcMar>
              <w:top w:w="60" w:type="dxa"/>
              <w:start w:w="70" w:type="dxa"/>
              <w:bottom w:w="60" w:type="dxa"/>
              <w:end w:w="70" w:type="dxa"/>
            </w:tcMar>
            <w:vAlign w:val="top"/>
            <w:shd w:fill="F2F2F2"/>
          </w:tcPr>
          <w:p>
            <w:pPr>
              <w:spacing w:after="0" w:line="240" w:lineRule="auto"/>
            </w:pPr>
            <w:r>
              <w:rPr>
                <w:color w:val="222222"/>
                <w:sz w:val="15"/>
              </w:rPr>
              <w:t>County-vintage</w:t>
            </w:r>
          </w:p>
        </w:tc>
        <w:tc>
          <w:tcPr>
            <w:tcW w:type="dxa" w:w="3888"/>
            <w:tcMar>
              <w:top w:w="60" w:type="dxa"/>
              <w:start w:w="70" w:type="dxa"/>
              <w:bottom w:w="60" w:type="dxa"/>
              <w:end w:w="70" w:type="dxa"/>
            </w:tcMar>
            <w:vAlign w:val="top"/>
            <w:shd w:fill="F2F2F2"/>
          </w:tcPr>
          <w:p>
            <w:pPr>
              <w:spacing w:after="0" w:line="240" w:lineRule="auto"/>
            </w:pPr>
            <w:r>
              <w:rPr>
                <w:color w:val="222222"/>
                <w:sz w:val="15"/>
              </w:rPr>
              <w:t>(Latest units - base units) / base units x 100</w:t>
            </w:r>
          </w:p>
        </w:tc>
        <w:tc>
          <w:tcPr>
            <w:tcW w:type="dxa" w:w="3096"/>
            <w:tcMar>
              <w:top w:w="60" w:type="dxa"/>
              <w:start w:w="70" w:type="dxa"/>
              <w:bottom w:w="60" w:type="dxa"/>
              <w:end w:w="70" w:type="dxa"/>
            </w:tcMar>
            <w:vAlign w:val="top"/>
            <w:shd w:fill="F2F2F2"/>
          </w:tcPr>
          <w:p>
            <w:pPr>
              <w:spacing w:after="0" w:line="240" w:lineRule="auto"/>
            </w:pPr>
            <w:r>
              <w:rPr>
                <w:color w:val="222222"/>
                <w:sz w:val="15"/>
              </w:rPr>
              <w:t>Do not mix vintages.</w:t>
            </w:r>
          </w:p>
        </w:tc>
      </w:tr>
      <w:tr>
        <w:trPr>
          <w:cantSplit/>
        </w:trPr>
        <w:tc>
          <w:tcPr>
            <w:tcW w:type="dxa" w:w="2232"/>
            <w:tcMar>
              <w:top w:w="60" w:type="dxa"/>
              <w:start w:w="70" w:type="dxa"/>
              <w:bottom w:w="60" w:type="dxa"/>
              <w:end w:w="70" w:type="dxa"/>
            </w:tcMar>
            <w:vAlign w:val="top"/>
          </w:tcPr>
          <w:p>
            <w:pPr>
              <w:spacing w:after="0" w:line="240" w:lineRule="auto"/>
            </w:pPr>
            <w:r>
              <w:rPr>
                <w:color w:val="222222"/>
                <w:sz w:val="15"/>
              </w:rPr>
              <w:t>Population growth</w:t>
            </w:r>
          </w:p>
        </w:tc>
        <w:tc>
          <w:tcPr>
            <w:tcW w:type="dxa" w:w="1584"/>
            <w:tcMar>
              <w:top w:w="60" w:type="dxa"/>
              <w:start w:w="70" w:type="dxa"/>
              <w:bottom w:w="60" w:type="dxa"/>
              <w:end w:w="70" w:type="dxa"/>
            </w:tcMar>
            <w:vAlign w:val="top"/>
          </w:tcPr>
          <w:p>
            <w:pPr>
              <w:spacing w:after="0" w:line="240" w:lineRule="auto"/>
            </w:pPr>
            <w:r>
              <w:rPr>
                <w:color w:val="222222"/>
                <w:sz w:val="15"/>
              </w:rPr>
              <w:t>County-vintage</w:t>
            </w:r>
          </w:p>
        </w:tc>
        <w:tc>
          <w:tcPr>
            <w:tcW w:type="dxa" w:w="3888"/>
            <w:tcMar>
              <w:top w:w="60" w:type="dxa"/>
              <w:start w:w="70" w:type="dxa"/>
              <w:bottom w:w="60" w:type="dxa"/>
              <w:end w:w="70" w:type="dxa"/>
            </w:tcMar>
            <w:vAlign w:val="top"/>
          </w:tcPr>
          <w:p>
            <w:pPr>
              <w:spacing w:after="0" w:line="240" w:lineRule="auto"/>
            </w:pPr>
            <w:r>
              <w:rPr>
                <w:color w:val="222222"/>
                <w:sz w:val="15"/>
              </w:rPr>
              <w:t>(Latest population - base population) / base population x 100</w:t>
            </w:r>
          </w:p>
        </w:tc>
        <w:tc>
          <w:tcPr>
            <w:tcW w:type="dxa" w:w="3096"/>
            <w:tcMar>
              <w:top w:w="60" w:type="dxa"/>
              <w:start w:w="70" w:type="dxa"/>
              <w:bottom w:w="60" w:type="dxa"/>
              <w:end w:w="70" w:type="dxa"/>
            </w:tcMar>
            <w:vAlign w:val="top"/>
          </w:tcPr>
          <w:p>
            <w:pPr>
              <w:spacing w:after="0" w:line="240" w:lineRule="auto"/>
            </w:pPr>
            <w:r>
              <w:rPr>
                <w:color w:val="222222"/>
                <w:sz w:val="15"/>
              </w:rPr>
              <w:t>Do not mix vintages.</w:t>
            </w:r>
          </w:p>
        </w:tc>
      </w:tr>
      <w:tr>
        <w:trPr>
          <w:cantSplit/>
        </w:trPr>
        <w:tc>
          <w:tcPr>
            <w:tcW w:type="dxa" w:w="2232"/>
            <w:tcMar>
              <w:top w:w="60" w:type="dxa"/>
              <w:start w:w="70" w:type="dxa"/>
              <w:bottom w:w="60" w:type="dxa"/>
              <w:end w:w="70" w:type="dxa"/>
            </w:tcMar>
            <w:vAlign w:val="top"/>
            <w:shd w:fill="F2F2F2"/>
          </w:tcPr>
          <w:p>
            <w:pPr>
              <w:spacing w:after="0" w:line="240" w:lineRule="auto"/>
            </w:pPr>
            <w:r>
              <w:rPr>
                <w:color w:val="222222"/>
                <w:sz w:val="15"/>
              </w:rPr>
              <w:t>Demand-supply growth gap</w:t>
            </w:r>
          </w:p>
        </w:tc>
        <w:tc>
          <w:tcPr>
            <w:tcW w:type="dxa" w:w="1584"/>
            <w:tcMar>
              <w:top w:w="60" w:type="dxa"/>
              <w:start w:w="70" w:type="dxa"/>
              <w:bottom w:w="60" w:type="dxa"/>
              <w:end w:w="70" w:type="dxa"/>
            </w:tcMar>
            <w:vAlign w:val="top"/>
            <w:shd w:fill="F2F2F2"/>
          </w:tcPr>
          <w:p>
            <w:pPr>
              <w:spacing w:after="0" w:line="240" w:lineRule="auto"/>
            </w:pPr>
            <w:r>
              <w:rPr>
                <w:color w:val="222222"/>
                <w:sz w:val="15"/>
              </w:rPr>
              <w:t>County-vintage</w:t>
            </w:r>
          </w:p>
        </w:tc>
        <w:tc>
          <w:tcPr>
            <w:tcW w:type="dxa" w:w="3888"/>
            <w:tcMar>
              <w:top w:w="60" w:type="dxa"/>
              <w:start w:w="70" w:type="dxa"/>
              <w:bottom w:w="60" w:type="dxa"/>
              <w:end w:w="70" w:type="dxa"/>
            </w:tcMar>
            <w:vAlign w:val="top"/>
            <w:shd w:fill="F2F2F2"/>
          </w:tcPr>
          <w:p>
            <w:pPr>
              <w:spacing w:after="0" w:line="240" w:lineRule="auto"/>
            </w:pPr>
            <w:r>
              <w:rPr>
                <w:color w:val="222222"/>
                <w:sz w:val="15"/>
              </w:rPr>
              <w:t>Population growth % - housing-unit growth %</w:t>
            </w:r>
          </w:p>
        </w:tc>
        <w:tc>
          <w:tcPr>
            <w:tcW w:type="dxa" w:w="3096"/>
            <w:tcMar>
              <w:top w:w="60" w:type="dxa"/>
              <w:start w:w="70" w:type="dxa"/>
              <w:bottom w:w="60" w:type="dxa"/>
              <w:end w:w="70" w:type="dxa"/>
            </w:tcMar>
            <w:vAlign w:val="top"/>
            <w:shd w:fill="F2F2F2"/>
          </w:tcPr>
          <w:p>
            <w:pPr>
              <w:spacing w:after="0" w:line="240" w:lineRule="auto"/>
            </w:pPr>
            <w:r>
              <w:rPr>
                <w:color w:val="222222"/>
                <w:sz w:val="15"/>
              </w:rPr>
              <w:t>Planning signal, not a causal measure.</w:t>
            </w:r>
          </w:p>
        </w:tc>
      </w:tr>
      <w:tr>
        <w:trPr>
          <w:cantSplit/>
        </w:trPr>
        <w:tc>
          <w:tcPr>
            <w:tcW w:type="dxa" w:w="2232"/>
            <w:tcMar>
              <w:top w:w="60" w:type="dxa"/>
              <w:start w:w="70" w:type="dxa"/>
              <w:bottom w:w="60" w:type="dxa"/>
              <w:end w:w="70" w:type="dxa"/>
            </w:tcMar>
            <w:vAlign w:val="top"/>
          </w:tcPr>
          <w:p>
            <w:pPr>
              <w:spacing w:after="0" w:line="240" w:lineRule="auto"/>
            </w:pPr>
            <w:r>
              <w:rPr>
                <w:color w:val="222222"/>
                <w:sz w:val="15"/>
              </w:rPr>
              <w:t>Priority score</w:t>
            </w:r>
          </w:p>
        </w:tc>
        <w:tc>
          <w:tcPr>
            <w:tcW w:type="dxa" w:w="1584"/>
            <w:tcMar>
              <w:top w:w="60" w:type="dxa"/>
              <w:start w:w="70" w:type="dxa"/>
              <w:bottom w:w="60" w:type="dxa"/>
              <w:end w:w="70" w:type="dxa"/>
            </w:tcMar>
            <w:vAlign w:val="top"/>
          </w:tcPr>
          <w:p>
            <w:pPr>
              <w:spacing w:after="0" w:line="240" w:lineRule="auto"/>
            </w:pPr>
            <w:r>
              <w:rPr>
                <w:color w:val="222222"/>
                <w:sz w:val="15"/>
              </w:rPr>
              <w:t>County reference set</w:t>
            </w:r>
          </w:p>
        </w:tc>
        <w:tc>
          <w:tcPr>
            <w:tcW w:type="dxa" w:w="3888"/>
            <w:tcMar>
              <w:top w:w="60" w:type="dxa"/>
              <w:start w:w="70" w:type="dxa"/>
              <w:bottom w:w="60" w:type="dxa"/>
              <w:end w:w="70" w:type="dxa"/>
            </w:tcMar>
            <w:vAlign w:val="top"/>
          </w:tcPr>
          <w:p>
            <w:pPr>
              <w:spacing w:after="0" w:line="240" w:lineRule="auto"/>
            </w:pPr>
            <w:r>
              <w:rPr>
                <w:color w:val="222222"/>
                <w:sz w:val="15"/>
              </w:rPr>
              <w:t>Governed weighted score using approved components</w:t>
            </w:r>
          </w:p>
        </w:tc>
        <w:tc>
          <w:tcPr>
            <w:tcW w:type="dxa" w:w="3096"/>
            <w:tcMar>
              <w:top w:w="60" w:type="dxa"/>
              <w:start w:w="70" w:type="dxa"/>
              <w:bottom w:w="60" w:type="dxa"/>
              <w:end w:w="70" w:type="dxa"/>
            </w:tcMar>
            <w:vAlign w:val="top"/>
          </w:tcPr>
          <w:p>
            <w:pPr>
              <w:spacing w:after="0" w:line="240" w:lineRule="auto"/>
            </w:pPr>
            <w:r>
              <w:rPr>
                <w:color w:val="222222"/>
                <w:sz w:val="15"/>
              </w:rPr>
              <w:t>Project method, not an official ranking; requires sensitivity testing.</w:t>
            </w:r>
          </w:p>
        </w:tc>
      </w:tr>
      <w:tr>
        <w:trPr>
          <w:cantSplit/>
        </w:trPr>
        <w:tc>
          <w:tcPr>
            <w:tcW w:type="dxa" w:w="2232"/>
            <w:tcMar>
              <w:top w:w="60" w:type="dxa"/>
              <w:start w:w="70" w:type="dxa"/>
              <w:bottom w:w="60" w:type="dxa"/>
              <w:end w:w="70" w:type="dxa"/>
            </w:tcMar>
            <w:vAlign w:val="top"/>
            <w:shd w:fill="F2F2F2"/>
          </w:tcPr>
          <w:p>
            <w:pPr>
              <w:spacing w:after="0" w:line="240" w:lineRule="auto"/>
            </w:pPr>
            <w:r>
              <w:rPr>
                <w:color w:val="222222"/>
                <w:sz w:val="15"/>
              </w:rPr>
              <w:t>Median days to issuance</w:t>
            </w:r>
          </w:p>
        </w:tc>
        <w:tc>
          <w:tcPr>
            <w:tcW w:type="dxa" w:w="1584"/>
            <w:tcMar>
              <w:top w:w="60" w:type="dxa"/>
              <w:start w:w="70" w:type="dxa"/>
              <w:bottom w:w="60" w:type="dxa"/>
              <w:end w:w="70" w:type="dxa"/>
            </w:tcMar>
            <w:vAlign w:val="top"/>
            <w:shd w:fill="F2F2F2"/>
          </w:tcPr>
          <w:p>
            <w:pPr>
              <w:spacing w:after="0" w:line="240" w:lineRule="auto"/>
            </w:pPr>
            <w:r>
              <w:rPr>
                <w:color w:val="222222"/>
                <w:sz w:val="15"/>
              </w:rPr>
              <w:t>Permit record population</w:t>
            </w:r>
          </w:p>
        </w:tc>
        <w:tc>
          <w:tcPr>
            <w:tcW w:type="dxa" w:w="3888"/>
            <w:tcMar>
              <w:top w:w="60" w:type="dxa"/>
              <w:start w:w="70" w:type="dxa"/>
              <w:bottom w:w="60" w:type="dxa"/>
              <w:end w:w="70" w:type="dxa"/>
            </w:tcMar>
            <w:vAlign w:val="top"/>
            <w:shd w:fill="F2F2F2"/>
          </w:tcPr>
          <w:p>
            <w:pPr>
              <w:spacing w:after="0" w:line="240" w:lineRule="auto"/>
            </w:pPr>
            <w:r>
              <w:rPr>
                <w:color w:val="222222"/>
                <w:sz w:val="15"/>
              </w:rPr>
              <w:t>Median of application-to-issuance calendar days</w:t>
            </w:r>
          </w:p>
        </w:tc>
        <w:tc>
          <w:tcPr>
            <w:tcW w:type="dxa" w:w="3096"/>
            <w:tcMar>
              <w:top w:w="60" w:type="dxa"/>
              <w:start w:w="70" w:type="dxa"/>
              <w:bottom w:w="60" w:type="dxa"/>
              <w:end w:w="70" w:type="dxa"/>
            </w:tcMar>
            <w:vAlign w:val="top"/>
            <w:shd w:fill="F2F2F2"/>
          </w:tcPr>
          <w:p>
            <w:pPr>
              <w:spacing w:after="0" w:line="240" w:lineRule="auto"/>
            </w:pPr>
            <w:r>
              <w:rPr>
                <w:color w:val="222222"/>
                <w:sz w:val="15"/>
              </w:rPr>
              <w:t>Does not equal agency review time unless separately supported.</w:t>
            </w:r>
          </w:p>
        </w:tc>
      </w:tr>
      <w:tr>
        <w:trPr>
          <w:cantSplit/>
        </w:trPr>
        <w:tc>
          <w:tcPr>
            <w:tcW w:type="dxa" w:w="2232"/>
            <w:tcMar>
              <w:top w:w="60" w:type="dxa"/>
              <w:start w:w="70" w:type="dxa"/>
              <w:bottom w:w="60" w:type="dxa"/>
              <w:end w:w="70" w:type="dxa"/>
            </w:tcMar>
            <w:vAlign w:val="top"/>
          </w:tcPr>
          <w:p>
            <w:pPr>
              <w:spacing w:after="0" w:line="240" w:lineRule="auto"/>
            </w:pPr>
            <w:r>
              <w:rPr>
                <w:color w:val="222222"/>
                <w:sz w:val="15"/>
              </w:rPr>
              <w:t>90th-percentile days</w:t>
            </w:r>
          </w:p>
        </w:tc>
        <w:tc>
          <w:tcPr>
            <w:tcW w:type="dxa" w:w="1584"/>
            <w:tcMar>
              <w:top w:w="60" w:type="dxa"/>
              <w:start w:w="70" w:type="dxa"/>
              <w:bottom w:w="60" w:type="dxa"/>
              <w:end w:w="70" w:type="dxa"/>
            </w:tcMar>
            <w:vAlign w:val="top"/>
          </w:tcPr>
          <w:p>
            <w:pPr>
              <w:spacing w:after="0" w:line="240" w:lineRule="auto"/>
            </w:pPr>
            <w:r>
              <w:rPr>
                <w:color w:val="222222"/>
                <w:sz w:val="15"/>
              </w:rPr>
              <w:t>Permit record population</w:t>
            </w:r>
          </w:p>
        </w:tc>
        <w:tc>
          <w:tcPr>
            <w:tcW w:type="dxa" w:w="3888"/>
            <w:tcMar>
              <w:top w:w="60" w:type="dxa"/>
              <w:start w:w="70" w:type="dxa"/>
              <w:bottom w:w="60" w:type="dxa"/>
              <w:end w:w="70" w:type="dxa"/>
            </w:tcMar>
            <w:vAlign w:val="top"/>
          </w:tcPr>
          <w:p>
            <w:pPr>
              <w:spacing w:after="0" w:line="240" w:lineRule="auto"/>
            </w:pPr>
            <w:r>
              <w:rPr>
                <w:color w:val="222222"/>
                <w:sz w:val="15"/>
              </w:rPr>
              <w:t>Duration at or below which 90% of records fall</w:t>
            </w:r>
          </w:p>
        </w:tc>
        <w:tc>
          <w:tcPr>
            <w:tcW w:type="dxa" w:w="3096"/>
            <w:tcMar>
              <w:top w:w="60" w:type="dxa"/>
              <w:start w:w="70" w:type="dxa"/>
              <w:bottom w:w="60" w:type="dxa"/>
              <w:end w:w="70" w:type="dxa"/>
            </w:tcMar>
            <w:vAlign w:val="top"/>
          </w:tcPr>
          <w:p>
            <w:pPr>
              <w:spacing w:after="0" w:line="240" w:lineRule="auto"/>
            </w:pPr>
            <w:r>
              <w:rPr>
                <w:color w:val="222222"/>
                <w:sz w:val="15"/>
              </w:rPr>
              <w:t>Describes the long tail; threshold is not a performance judgment.</w:t>
            </w:r>
          </w:p>
        </w:tc>
      </w:tr>
      <w:tr>
        <w:trPr>
          <w:cantSplit/>
        </w:trPr>
        <w:tc>
          <w:tcPr>
            <w:tcW w:type="dxa" w:w="2232"/>
            <w:tcMar>
              <w:top w:w="60" w:type="dxa"/>
              <w:start w:w="70" w:type="dxa"/>
              <w:bottom w:w="60" w:type="dxa"/>
              <w:end w:w="70" w:type="dxa"/>
            </w:tcMar>
            <w:vAlign w:val="top"/>
            <w:shd w:fill="F2F2F2"/>
          </w:tcPr>
          <w:p>
            <w:pPr>
              <w:spacing w:after="0" w:line="240" w:lineRule="auto"/>
            </w:pPr>
            <w:r>
              <w:rPr>
                <w:color w:val="222222"/>
                <w:sz w:val="15"/>
              </w:rPr>
              <w:t>Share over threshold</w:t>
            </w:r>
          </w:p>
        </w:tc>
        <w:tc>
          <w:tcPr>
            <w:tcW w:type="dxa" w:w="1584"/>
            <w:tcMar>
              <w:top w:w="60" w:type="dxa"/>
              <w:start w:w="70" w:type="dxa"/>
              <w:bottom w:w="60" w:type="dxa"/>
              <w:end w:w="70" w:type="dxa"/>
            </w:tcMar>
            <w:vAlign w:val="top"/>
            <w:shd w:fill="F2F2F2"/>
          </w:tcPr>
          <w:p>
            <w:pPr>
              <w:spacing w:after="0" w:line="240" w:lineRule="auto"/>
            </w:pPr>
            <w:r>
              <w:rPr>
                <w:color w:val="222222"/>
                <w:sz w:val="15"/>
              </w:rPr>
              <w:t>Permit record population</w:t>
            </w:r>
          </w:p>
        </w:tc>
        <w:tc>
          <w:tcPr>
            <w:tcW w:type="dxa" w:w="3888"/>
            <w:tcMar>
              <w:top w:w="60" w:type="dxa"/>
              <w:start w:w="70" w:type="dxa"/>
              <w:bottom w:w="60" w:type="dxa"/>
              <w:end w:w="70" w:type="dxa"/>
            </w:tcMar>
            <w:vAlign w:val="top"/>
            <w:shd w:fill="F2F2F2"/>
          </w:tcPr>
          <w:p>
            <w:pPr>
              <w:spacing w:after="0" w:line="240" w:lineRule="auto"/>
            </w:pPr>
            <w:r>
              <w:rPr>
                <w:color w:val="222222"/>
                <w:sz w:val="15"/>
              </w:rPr>
              <w:t>Records above approved threshold / valid records x 100</w:t>
            </w:r>
          </w:p>
        </w:tc>
        <w:tc>
          <w:tcPr>
            <w:tcW w:type="dxa" w:w="3096"/>
            <w:tcMar>
              <w:top w:w="60" w:type="dxa"/>
              <w:start w:w="70" w:type="dxa"/>
              <w:bottom w:w="60" w:type="dxa"/>
              <w:end w:w="70" w:type="dxa"/>
            </w:tcMar>
            <w:vAlign w:val="top"/>
            <w:shd w:fill="F2F2F2"/>
          </w:tcPr>
          <w:p>
            <w:pPr>
              <w:spacing w:after="0" w:line="240" w:lineRule="auto"/>
            </w:pPr>
            <w:r>
              <w:rPr>
                <w:color w:val="222222"/>
                <w:sz w:val="15"/>
              </w:rPr>
              <w:t>Flags records for review, not confirmed bottlenecks.</w:t>
            </w:r>
          </w:p>
        </w:tc>
      </w:tr>
    </w:tbl>
    <w:p>
      <w:pPr>
        <w:pStyle w:val="Heading1"/>
        <w:keepNext/>
      </w:pPr>
      <w:r>
        <w:t>4. Minimum Data-Quality Checklist</w:t>
      </w:r>
    </w:p>
    <w:tbl>
      <w:tblPr>
        <w:tblStyle w:val="TableGrid"/>
        <w:tblW w:type="auto" w:w="0"/>
        <w:jc w:val="center"/>
        <w:tblLayout w:type="fixed"/>
        <w:tblLook w:firstColumn="1" w:firstRow="1" w:lastColumn="0" w:lastRow="0" w:noHBand="0" w:noVBand="1" w:val="04A0"/>
      </w:tblPr>
      <w:tblGrid>
        <w:gridCol w:w="5141"/>
        <w:gridCol w:w="5141"/>
      </w:tblGrid>
      <w:tr>
        <w:trPr>
          <w:tblHeader w:val="true"/>
          <w:cantSplit/>
        </w:trPr>
        <w:tc>
          <w:tcPr>
            <w:tcW w:type="dxa" w:w="2376"/>
            <w:shd w:fill="17365D"/>
            <w:tcMar>
              <w:top w:w="70" w:type="dxa"/>
              <w:start w:w="70" w:type="dxa"/>
              <w:bottom w:w="70" w:type="dxa"/>
              <w:end w:w="70" w:type="dxa"/>
            </w:tcMar>
            <w:vAlign w:val="center"/>
          </w:tcPr>
          <w:p>
            <w:pPr>
              <w:spacing w:after="0"/>
              <w:jc w:val="left"/>
            </w:pPr>
            <w:r>
              <w:rPr>
                <w:b/>
                <w:color w:val="FFFFFF"/>
                <w:sz w:val="17"/>
              </w:rPr>
              <w:t>Control</w:t>
            </w:r>
          </w:p>
        </w:tc>
        <w:tc>
          <w:tcPr>
            <w:tcW w:type="dxa" w:w="7992"/>
            <w:shd w:fill="17365D"/>
            <w:tcMar>
              <w:top w:w="70" w:type="dxa"/>
              <w:start w:w="70" w:type="dxa"/>
              <w:bottom w:w="70" w:type="dxa"/>
              <w:end w:w="70" w:type="dxa"/>
            </w:tcMar>
            <w:vAlign w:val="center"/>
          </w:tcPr>
          <w:p>
            <w:pPr>
              <w:spacing w:after="0"/>
              <w:jc w:val="left"/>
            </w:pPr>
            <w:r>
              <w:rPr>
                <w:b/>
                <w:color w:val="FFFFFF"/>
                <w:sz w:val="17"/>
              </w:rPr>
              <w:t>Minimum requirement</w:t>
            </w:r>
          </w:p>
        </w:tc>
      </w:tr>
      <w:tr>
        <w:trPr>
          <w:cantSplit/>
        </w:trPr>
        <w:tc>
          <w:tcPr>
            <w:tcW w:type="dxa" w:w="2376"/>
            <w:tcMar>
              <w:top w:w="60" w:type="dxa"/>
              <w:start w:w="70" w:type="dxa"/>
              <w:bottom w:w="60" w:type="dxa"/>
              <w:end w:w="70" w:type="dxa"/>
            </w:tcMar>
            <w:vAlign w:val="top"/>
          </w:tcPr>
          <w:p>
            <w:pPr>
              <w:spacing w:after="0" w:line="240" w:lineRule="auto"/>
            </w:pPr>
            <w:r>
              <w:rPr>
                <w:color w:val="222222"/>
                <w:sz w:val="17"/>
              </w:rPr>
              <w:t>Source of record</w:t>
            </w:r>
          </w:p>
        </w:tc>
        <w:tc>
          <w:tcPr>
            <w:tcW w:type="dxa" w:w="7992"/>
            <w:tcMar>
              <w:top w:w="60" w:type="dxa"/>
              <w:start w:w="70" w:type="dxa"/>
              <w:bottom w:w="60" w:type="dxa"/>
              <w:end w:w="70" w:type="dxa"/>
            </w:tcMar>
            <w:vAlign w:val="top"/>
          </w:tcPr>
          <w:p>
            <w:pPr>
              <w:spacing w:after="0" w:line="240" w:lineRule="auto"/>
            </w:pPr>
            <w:r>
              <w:rPr>
                <w:color w:val="222222"/>
                <w:sz w:val="17"/>
              </w:rPr>
              <w:t>Use the official publishing agency as the authoritative source; mirrors are not authoritative.</w:t>
            </w:r>
          </w:p>
        </w:tc>
      </w:tr>
      <w:tr>
        <w:trPr>
          <w:cantSplit/>
        </w:trPr>
        <w:tc>
          <w:tcPr>
            <w:tcW w:type="dxa" w:w="2376"/>
            <w:tcMar>
              <w:top w:w="60" w:type="dxa"/>
              <w:start w:w="70" w:type="dxa"/>
              <w:bottom w:w="60" w:type="dxa"/>
              <w:end w:w="70" w:type="dxa"/>
            </w:tcMar>
            <w:vAlign w:val="top"/>
            <w:shd w:fill="F2F2F2"/>
          </w:tcPr>
          <w:p>
            <w:pPr>
              <w:spacing w:after="0" w:line="240" w:lineRule="auto"/>
            </w:pPr>
            <w:r>
              <w:rPr>
                <w:color w:val="222222"/>
                <w:sz w:val="17"/>
              </w:rPr>
              <w:t>Version and provenance</w:t>
            </w:r>
          </w:p>
        </w:tc>
        <w:tc>
          <w:tcPr>
            <w:tcW w:type="dxa" w:w="7992"/>
            <w:tcMar>
              <w:top w:w="60" w:type="dxa"/>
              <w:start w:w="70" w:type="dxa"/>
              <w:bottom w:w="60" w:type="dxa"/>
              <w:end w:w="70" w:type="dxa"/>
            </w:tcMar>
            <w:vAlign w:val="top"/>
            <w:shd w:fill="F2F2F2"/>
          </w:tcPr>
          <w:p>
            <w:pPr>
              <w:spacing w:after="0" w:line="240" w:lineRule="auto"/>
            </w:pPr>
            <w:r>
              <w:rPr>
                <w:color w:val="222222"/>
                <w:sz w:val="17"/>
              </w:rPr>
              <w:t>Record vintage, release date, file name, URL, retrieval date, and checksum or file hash.</w:t>
            </w:r>
          </w:p>
        </w:tc>
      </w:tr>
      <w:tr>
        <w:trPr>
          <w:cantSplit/>
        </w:trPr>
        <w:tc>
          <w:tcPr>
            <w:tcW w:type="dxa" w:w="2376"/>
            <w:tcMar>
              <w:top w:w="60" w:type="dxa"/>
              <w:start w:w="70" w:type="dxa"/>
              <w:bottom w:w="60" w:type="dxa"/>
              <w:end w:w="70" w:type="dxa"/>
            </w:tcMar>
            <w:vAlign w:val="top"/>
          </w:tcPr>
          <w:p>
            <w:pPr>
              <w:spacing w:after="0" w:line="240" w:lineRule="auto"/>
            </w:pPr>
            <w:r>
              <w:rPr>
                <w:color w:val="222222"/>
                <w:sz w:val="17"/>
              </w:rPr>
              <w:t>Geography</w:t>
            </w:r>
          </w:p>
        </w:tc>
        <w:tc>
          <w:tcPr>
            <w:tcW w:type="dxa" w:w="7992"/>
            <w:tcMar>
              <w:top w:w="60" w:type="dxa"/>
              <w:start w:w="70" w:type="dxa"/>
              <w:bottom w:w="60" w:type="dxa"/>
              <w:end w:w="70" w:type="dxa"/>
            </w:tcMar>
            <w:vAlign w:val="top"/>
          </w:tcPr>
          <w:p>
            <w:pPr>
              <w:spacing w:after="0" w:line="240" w:lineRule="auto"/>
            </w:pPr>
            <w:r>
              <w:rPr>
                <w:color w:val="222222"/>
                <w:sz w:val="17"/>
              </w:rPr>
              <w:t>Keep state FIPS as two digits and county GEOID as five digits; verify geographic joins.</w:t>
            </w:r>
          </w:p>
        </w:tc>
      </w:tr>
      <w:tr>
        <w:trPr>
          <w:cantSplit/>
        </w:trPr>
        <w:tc>
          <w:tcPr>
            <w:tcW w:type="dxa" w:w="2376"/>
            <w:tcMar>
              <w:top w:w="60" w:type="dxa"/>
              <w:start w:w="70" w:type="dxa"/>
              <w:bottom w:w="60" w:type="dxa"/>
              <w:end w:w="70" w:type="dxa"/>
            </w:tcMar>
            <w:vAlign w:val="top"/>
            <w:shd w:fill="F2F2F2"/>
          </w:tcPr>
          <w:p>
            <w:pPr>
              <w:spacing w:after="0" w:line="240" w:lineRule="auto"/>
            </w:pPr>
            <w:r>
              <w:rPr>
                <w:color w:val="222222"/>
                <w:sz w:val="17"/>
              </w:rPr>
              <w:t>Uniqueness</w:t>
            </w:r>
          </w:p>
        </w:tc>
        <w:tc>
          <w:tcPr>
            <w:tcW w:type="dxa" w:w="7992"/>
            <w:tcMar>
              <w:top w:w="60" w:type="dxa"/>
              <w:start w:w="70" w:type="dxa"/>
              <w:bottom w:w="60" w:type="dxa"/>
              <w:end w:w="70" w:type="dxa"/>
            </w:tcMar>
            <w:vAlign w:val="top"/>
            <w:shd w:fill="F2F2F2"/>
          </w:tcPr>
          <w:p>
            <w:pPr>
              <w:spacing w:after="0" w:line="240" w:lineRule="auto"/>
            </w:pPr>
            <w:r>
              <w:rPr>
                <w:color w:val="222222"/>
                <w:sz w:val="17"/>
              </w:rPr>
              <w:t>Confirm that each source, geography, and reference period has one valid record.</w:t>
            </w:r>
          </w:p>
        </w:tc>
      </w:tr>
      <w:tr>
        <w:trPr>
          <w:cantSplit/>
        </w:trPr>
        <w:tc>
          <w:tcPr>
            <w:tcW w:type="dxa" w:w="2376"/>
            <w:tcMar>
              <w:top w:w="60" w:type="dxa"/>
              <w:start w:w="70" w:type="dxa"/>
              <w:bottom w:w="60" w:type="dxa"/>
              <w:end w:w="70" w:type="dxa"/>
            </w:tcMar>
            <w:vAlign w:val="top"/>
          </w:tcPr>
          <w:p>
            <w:pPr>
              <w:spacing w:after="0" w:line="240" w:lineRule="auto"/>
            </w:pPr>
            <w:r>
              <w:rPr>
                <w:color w:val="222222"/>
                <w:sz w:val="17"/>
              </w:rPr>
              <w:t>Valid ranges</w:t>
            </w:r>
          </w:p>
        </w:tc>
        <w:tc>
          <w:tcPr>
            <w:tcW w:type="dxa" w:w="7992"/>
            <w:tcMar>
              <w:top w:w="60" w:type="dxa"/>
              <w:start w:w="70" w:type="dxa"/>
              <w:bottom w:w="60" w:type="dxa"/>
              <w:end w:w="70" w:type="dxa"/>
            </w:tcMar>
            <w:vAlign w:val="top"/>
          </w:tcPr>
          <w:p>
            <w:pPr>
              <w:spacing w:after="0" w:line="240" w:lineRule="auto"/>
            </w:pPr>
            <w:r>
              <w:rPr>
                <w:color w:val="222222"/>
                <w:sz w:val="17"/>
              </w:rPr>
              <w:t>Counts must be nonnegative; percentages must remain between 0 and 100.</w:t>
            </w:r>
          </w:p>
        </w:tc>
      </w:tr>
      <w:tr>
        <w:trPr>
          <w:cantSplit/>
        </w:trPr>
        <w:tc>
          <w:tcPr>
            <w:tcW w:type="dxa" w:w="2376"/>
            <w:tcMar>
              <w:top w:w="60" w:type="dxa"/>
              <w:start w:w="70" w:type="dxa"/>
              <w:bottom w:w="60" w:type="dxa"/>
              <w:end w:w="70" w:type="dxa"/>
            </w:tcMar>
            <w:vAlign w:val="top"/>
            <w:shd w:fill="F2F2F2"/>
          </w:tcPr>
          <w:p>
            <w:pPr>
              <w:spacing w:after="0" w:line="240" w:lineRule="auto"/>
            </w:pPr>
            <w:r>
              <w:rPr>
                <w:color w:val="222222"/>
                <w:sz w:val="17"/>
              </w:rPr>
              <w:t>Rates</w:t>
            </w:r>
          </w:p>
        </w:tc>
        <w:tc>
          <w:tcPr>
            <w:tcW w:type="dxa" w:w="7992"/>
            <w:tcMar>
              <w:top w:w="60" w:type="dxa"/>
              <w:start w:w="70" w:type="dxa"/>
              <w:bottom w:w="60" w:type="dxa"/>
              <w:end w:w="70" w:type="dxa"/>
            </w:tcMar>
            <w:vAlign w:val="top"/>
            <w:shd w:fill="F2F2F2"/>
          </w:tcPr>
          <w:p>
            <w:pPr>
              <w:spacing w:after="0" w:line="240" w:lineRule="auto"/>
            </w:pPr>
            <w:r>
              <w:rPr>
                <w:color w:val="222222"/>
                <w:sz w:val="17"/>
              </w:rPr>
              <w:t>Numerators cannot exceed denominators; zero denominators return null, not zero.</w:t>
            </w:r>
          </w:p>
        </w:tc>
      </w:tr>
      <w:tr>
        <w:trPr>
          <w:cantSplit/>
        </w:trPr>
        <w:tc>
          <w:tcPr>
            <w:tcW w:type="dxa" w:w="2376"/>
            <w:tcMar>
              <w:top w:w="60" w:type="dxa"/>
              <w:start w:w="70" w:type="dxa"/>
              <w:bottom w:w="60" w:type="dxa"/>
              <w:end w:w="70" w:type="dxa"/>
            </w:tcMar>
            <w:vAlign w:val="top"/>
          </w:tcPr>
          <w:p>
            <w:pPr>
              <w:spacing w:after="0" w:line="240" w:lineRule="auto"/>
            </w:pPr>
            <w:r>
              <w:rPr>
                <w:color w:val="222222"/>
                <w:sz w:val="17"/>
              </w:rPr>
              <w:t>ACS uncertainty</w:t>
            </w:r>
          </w:p>
        </w:tc>
        <w:tc>
          <w:tcPr>
            <w:tcW w:type="dxa" w:w="7992"/>
            <w:tcMar>
              <w:top w:w="60" w:type="dxa"/>
              <w:start w:w="70" w:type="dxa"/>
              <w:bottom w:w="60" w:type="dxa"/>
              <w:end w:w="70" w:type="dxa"/>
            </w:tcMar>
            <w:vAlign w:val="top"/>
          </w:tcPr>
          <w:p>
            <w:pPr>
              <w:spacing w:after="0" w:line="240" w:lineRule="auto"/>
            </w:pPr>
            <w:r>
              <w:rPr>
                <w:color w:val="222222"/>
                <w:sz w:val="17"/>
              </w:rPr>
              <w:t>Retain estimate/MOE pairs and flag statistically weak estimates rather than silently removing them.</w:t>
            </w:r>
          </w:p>
        </w:tc>
      </w:tr>
      <w:tr>
        <w:trPr>
          <w:cantSplit/>
        </w:trPr>
        <w:tc>
          <w:tcPr>
            <w:tcW w:type="dxa" w:w="2376"/>
            <w:tcMar>
              <w:top w:w="60" w:type="dxa"/>
              <w:start w:w="70" w:type="dxa"/>
              <w:bottom w:w="60" w:type="dxa"/>
              <w:end w:w="70" w:type="dxa"/>
            </w:tcMar>
            <w:vAlign w:val="top"/>
            <w:shd w:fill="F2F2F2"/>
          </w:tcPr>
          <w:p>
            <w:pPr>
              <w:spacing w:after="0" w:line="240" w:lineRule="auto"/>
            </w:pPr>
            <w:r>
              <w:rPr>
                <w:color w:val="222222"/>
                <w:sz w:val="17"/>
              </w:rPr>
              <w:t>CHAS controls</w:t>
            </w:r>
          </w:p>
        </w:tc>
        <w:tc>
          <w:tcPr>
            <w:tcW w:type="dxa" w:w="7992"/>
            <w:tcMar>
              <w:top w:w="60" w:type="dxa"/>
              <w:start w:w="70" w:type="dxa"/>
              <w:bottom w:w="60" w:type="dxa"/>
              <w:end w:w="70" w:type="dxa"/>
            </w:tcMar>
            <w:vAlign w:val="top"/>
            <w:shd w:fill="F2F2F2"/>
          </w:tcPr>
          <w:p>
            <w:pPr>
              <w:spacing w:after="0" w:line="240" w:lineRule="auto"/>
            </w:pPr>
            <w:r>
              <w:rPr>
                <w:color w:val="222222"/>
                <w:sz w:val="17"/>
              </w:rPr>
              <w:t>Use published totals and document rounding, suppression, or category changes.</w:t>
            </w:r>
          </w:p>
        </w:tc>
      </w:tr>
      <w:tr>
        <w:trPr>
          <w:cantSplit/>
        </w:trPr>
        <w:tc>
          <w:tcPr>
            <w:tcW w:type="dxa" w:w="2376"/>
            <w:tcMar>
              <w:top w:w="60" w:type="dxa"/>
              <w:start w:w="70" w:type="dxa"/>
              <w:bottom w:w="60" w:type="dxa"/>
              <w:end w:w="70" w:type="dxa"/>
            </w:tcMar>
            <w:vAlign w:val="top"/>
          </w:tcPr>
          <w:p>
            <w:pPr>
              <w:spacing w:after="0" w:line="240" w:lineRule="auto"/>
            </w:pPr>
            <w:r>
              <w:rPr>
                <w:color w:val="222222"/>
                <w:sz w:val="17"/>
              </w:rPr>
              <w:t>Time alignment</w:t>
            </w:r>
          </w:p>
        </w:tc>
        <w:tc>
          <w:tcPr>
            <w:tcW w:type="dxa" w:w="7992"/>
            <w:tcMar>
              <w:top w:w="60" w:type="dxa"/>
              <w:start w:w="70" w:type="dxa"/>
              <w:bottom w:w="60" w:type="dxa"/>
              <w:end w:w="70" w:type="dxa"/>
            </w:tcMar>
            <w:vAlign w:val="top"/>
          </w:tcPr>
          <w:p>
            <w:pPr>
              <w:spacing w:after="0" w:line="240" w:lineRule="auto"/>
            </w:pPr>
            <w:r>
              <w:rPr>
                <w:color w:val="222222"/>
                <w:sz w:val="17"/>
              </w:rPr>
              <w:t>Show the source period on every published output and avoid mixing incompatible years or vintages.</w:t>
            </w:r>
          </w:p>
        </w:tc>
      </w:tr>
      <w:tr>
        <w:trPr>
          <w:cantSplit/>
        </w:trPr>
        <w:tc>
          <w:tcPr>
            <w:tcW w:type="dxa" w:w="2376"/>
            <w:tcMar>
              <w:top w:w="60" w:type="dxa"/>
              <w:start w:w="70" w:type="dxa"/>
              <w:bottom w:w="60" w:type="dxa"/>
              <w:end w:w="70" w:type="dxa"/>
            </w:tcMar>
            <w:vAlign w:val="top"/>
            <w:shd w:fill="F2F2F2"/>
          </w:tcPr>
          <w:p>
            <w:pPr>
              <w:spacing w:after="0" w:line="240" w:lineRule="auto"/>
            </w:pPr>
            <w:r>
              <w:rPr>
                <w:color w:val="222222"/>
                <w:sz w:val="17"/>
              </w:rPr>
              <w:t>Join integrity</w:t>
            </w:r>
          </w:p>
        </w:tc>
        <w:tc>
          <w:tcPr>
            <w:tcW w:type="dxa" w:w="7992"/>
            <w:tcMar>
              <w:top w:w="60" w:type="dxa"/>
              <w:start w:w="70" w:type="dxa"/>
              <w:bottom w:w="60" w:type="dxa"/>
              <w:end w:w="70" w:type="dxa"/>
            </w:tcMar>
            <w:vAlign w:val="top"/>
            <w:shd w:fill="F2F2F2"/>
          </w:tcPr>
          <w:p>
            <w:pPr>
              <w:spacing w:after="0" w:line="240" w:lineRule="auto"/>
            </w:pPr>
            <w:r>
              <w:rPr>
                <w:color w:val="222222"/>
                <w:sz w:val="17"/>
              </w:rPr>
              <w:t>No fact record should join to multiple geography records; log missing or unmatched areas.</w:t>
            </w:r>
          </w:p>
        </w:tc>
      </w:tr>
      <w:tr>
        <w:trPr>
          <w:cantSplit/>
        </w:trPr>
        <w:tc>
          <w:tcPr>
            <w:tcW w:type="dxa" w:w="2376"/>
            <w:tcMar>
              <w:top w:w="60" w:type="dxa"/>
              <w:start w:w="70" w:type="dxa"/>
              <w:bottom w:w="60" w:type="dxa"/>
              <w:end w:w="70" w:type="dxa"/>
            </w:tcMar>
            <w:vAlign w:val="top"/>
          </w:tcPr>
          <w:p>
            <w:pPr>
              <w:spacing w:after="0" w:line="240" w:lineRule="auto"/>
            </w:pPr>
            <w:r>
              <w:rPr>
                <w:color w:val="222222"/>
                <w:sz w:val="17"/>
              </w:rPr>
              <w:t>Lineage</w:t>
            </w:r>
          </w:p>
        </w:tc>
        <w:tc>
          <w:tcPr>
            <w:tcW w:type="dxa" w:w="7992"/>
            <w:tcMar>
              <w:top w:w="60" w:type="dxa"/>
              <w:start w:w="70" w:type="dxa"/>
              <w:bottom w:w="60" w:type="dxa"/>
              <w:end w:w="70" w:type="dxa"/>
            </w:tcMar>
            <w:vAlign w:val="top"/>
          </w:tcPr>
          <w:p>
            <w:pPr>
              <w:spacing w:after="0" w:line="240" w:lineRule="auto"/>
            </w:pPr>
            <w:r>
              <w:rPr>
                <w:color w:val="222222"/>
                <w:sz w:val="17"/>
              </w:rPr>
              <w:t>Trace each published KPI to its formula, source fields, source file, and transformation steps.</w:t>
            </w:r>
          </w:p>
        </w:tc>
      </w:tr>
      <w:tr>
        <w:trPr>
          <w:cantSplit/>
        </w:trPr>
        <w:tc>
          <w:tcPr>
            <w:tcW w:type="dxa" w:w="2376"/>
            <w:tcMar>
              <w:top w:w="60" w:type="dxa"/>
              <w:start w:w="70" w:type="dxa"/>
              <w:bottom w:w="60" w:type="dxa"/>
              <w:end w:w="70" w:type="dxa"/>
            </w:tcMar>
            <w:vAlign w:val="top"/>
            <w:shd w:fill="F2F2F2"/>
          </w:tcPr>
          <w:p>
            <w:pPr>
              <w:spacing w:after="0" w:line="240" w:lineRule="auto"/>
            </w:pPr>
            <w:r>
              <w:rPr>
                <w:color w:val="222222"/>
                <w:sz w:val="17"/>
              </w:rPr>
              <w:t>Release review</w:t>
            </w:r>
          </w:p>
        </w:tc>
        <w:tc>
          <w:tcPr>
            <w:tcW w:type="dxa" w:w="7992"/>
            <w:tcMar>
              <w:top w:w="60" w:type="dxa"/>
              <w:start w:w="70" w:type="dxa"/>
              <w:bottom w:w="60" w:type="dxa"/>
              <w:end w:w="70" w:type="dxa"/>
            </w:tcMar>
            <w:vAlign w:val="top"/>
            <w:shd w:fill="F2F2F2"/>
          </w:tcPr>
          <w:p>
            <w:pPr>
              <w:spacing w:after="0" w:line="240" w:lineRule="auto"/>
            </w:pPr>
            <w:r>
              <w:rPr>
                <w:color w:val="222222"/>
                <w:sz w:val="17"/>
              </w:rPr>
              <w:t>Errors block publication; warnings require documented review and disposition.</w:t>
            </w:r>
          </w:p>
        </w:tc>
      </w:tr>
    </w:tbl>
    <w:p>
      <w:pPr>
        <w:pStyle w:val="Heading1"/>
        <w:keepNext/>
      </w:pPr>
      <w:r>
        <w:t>5. Local Adaptation Checklist</w:t>
      </w:r>
    </w:p>
    <w:p>
      <w:pPr>
        <w:pStyle w:val="CompactBullet"/>
      </w:pPr>
      <w:r>
        <w:t>Confirm the local business question and intended decision before selecting data.</w:t>
      </w:r>
    </w:p>
    <w:p>
      <w:pPr>
        <w:pStyle w:val="CompactBullet"/>
      </w:pPr>
      <w:r>
        <w:t>Map local permit types, status labels, milestone dates, pause conditions, and agency responsibilities.</w:t>
      </w:r>
    </w:p>
    <w:p>
      <w:pPr>
        <w:pStyle w:val="CompactBullet"/>
      </w:pPr>
      <w:r>
        <w:t>Create a local data dictionary and KPI approval record.</w:t>
      </w:r>
    </w:p>
    <w:p>
      <w:pPr>
        <w:pStyle w:val="CompactBullet"/>
      </w:pPr>
      <w:r>
        <w:t>Separate national context from local operational data.</w:t>
      </w:r>
    </w:p>
    <w:p>
      <w:pPr>
        <w:pStyle w:val="CompactBullet"/>
      </w:pPr>
      <w:r>
        <w:t>Validate missing dates, duplicates, invalid event sequences, and inconsistent categories.</w:t>
      </w:r>
    </w:p>
    <w:p>
      <w:pPr>
        <w:pStyle w:val="CompactBullet"/>
      </w:pPr>
      <w:r>
        <w:t>Obtain local subject-matter review before assigning causes or comparing jurisdictions.</w:t>
      </w:r>
    </w:p>
    <w:p>
      <w:pPr>
        <w:pStyle w:val="CompactBullet"/>
      </w:pPr>
      <w:r>
        <w:t>Document exclusions, assumptions, data limitations, and any changes to formulas or thresholds.</w:t>
      </w:r>
    </w:p>
    <w:p>
      <w:pPr>
        <w:pStyle w:val="CompactBullet"/>
      </w:pPr>
      <w:r>
        <w:t>Assign a release owner, version number, refresh schedule, and change history.</w:t>
      </w:r>
    </w:p>
    <w:p>
      <w:pPr>
        <w:pStyle w:val="Heading1"/>
        <w:keepNext/>
      </w:pPr>
      <w:r>
        <w:t>6. Official Source Portals</w:t>
      </w:r>
    </w:p>
    <w:p>
      <w:hyperlink r:id="rId17">
        <w:r>
          <w:rPr>
            <w:color w:val="0563C1"/>
            <w:u w:val="single"/>
          </w:rPr>
          <w:t>U.S. Census Bureau - 2020-2024 American Community Survey 5-Year Data</w:t>
        </w:r>
      </w:hyperlink>
    </w:p>
    <w:p>
      <w:hyperlink r:id="rId12">
        <w:r>
          <w:rPr>
            <w:color w:val="0563C1"/>
            <w:u w:val="single"/>
          </w:rPr>
          <w:t>HUD USER - Comprehensive Housing Affordability Strategy (CHAS) Data</w:t>
        </w:r>
      </w:hyperlink>
    </w:p>
    <w:p>
      <w:hyperlink r:id="rId13">
        <w:r>
          <w:rPr>
            <w:color w:val="0563C1"/>
            <w:u w:val="single"/>
          </w:rPr>
          <w:t>U.S. Census Bureau - Building Permits Survey</w:t>
        </w:r>
      </w:hyperlink>
    </w:p>
    <w:p>
      <w:hyperlink r:id="rId18">
        <w:r>
          <w:rPr>
            <w:color w:val="0563C1"/>
            <w:u w:val="single"/>
          </w:rPr>
          <w:t>U.S. Census Bureau - Population and Housing Unit Estimates</w:t>
        </w:r>
      </w:hyperlink>
    </w:p>
    <w:p>
      <w:hyperlink r:id="rId15">
        <w:r>
          <w:rPr>
            <w:color w:val="0563C1"/>
            <w:u w:val="single"/>
          </w:rPr>
          <w:t>National Low Income Housing Coalition - The Gap 2026</w:t>
        </w:r>
      </w:hyperlink>
    </w:p>
    <w:p>
      <w:hyperlink r:id="rId19">
        <w:r>
          <w:rPr>
            <w:color w:val="0563C1"/>
            <w:u w:val="single"/>
          </w:rPr>
          <w:t>U.S. Census Bureau - 2025 TIGER/Line Shapefiles</w:t>
        </w:r>
      </w:hyperlink>
    </w:p>
    <w:p>
      <w:pPr>
        <w:pStyle w:val="SmallNote"/>
      </w:pPr>
      <w:r>
        <w:rPr>
          <w:b/>
        </w:rPr>
        <w:t xml:space="preserve">Source-use rule: </w:t>
      </w:r>
      <w:r>
        <w:t>Before every refresh, confirm the release year, file schema, geographic coverage, official definitions, and known revisions. A newer file should not be substituted without an impact review.</w:t>
      </w:r>
    </w:p>
    <w:p>
      <w:pPr>
        <w:pStyle w:val="BodyText"/>
        <w:spacing w:after="120"/>
      </w:pPr>
      <w:r>
        <w:t>Suggested citation: Awediss, Arshalouys. 2026. AHIP Housing Analytics Reference Guide. Version 1.0. Affordable Housing Intelligence Platform.</w:t>
      </w:r>
    </w:p>
    <w:sectPr w:rsidR="00FC693F" w:rsidRPr="0006063C" w:rsidSect="00034616">
      <w:headerReference w:type="default" r:id="rId9"/>
      <w:footerReference w:type="default" r:id="rId10"/>
      <w:pgSz w:w="12240" w:h="15840"/>
      <w:pgMar w:top="893" w:right="979" w:bottom="893" w:left="979"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95959"/>
        <w:sz w:val="16"/>
      </w:rPr>
      <w:t>Housing Analytics Reference Guide | Version 1.0 | July 2026</w:t>
    </w:r>
  </w:p>
  <w:p>
    <w:pPr>
      <w:jc w:val="right"/>
    </w:pPr>
    <w:r>
      <w:rPr>
        <w:sz w:val="16"/>
      </w:rPr>
      <w:t xml:space="preserve">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6" w:space="1" w:color="2F75B5"/>
      </w:pBdr>
    </w:pPr>
    <w:r>
      <w:rPr>
        <w:rFonts w:ascii="Aptos" w:hAnsi="Aptos"/>
        <w:b/>
        <w:color w:val="17365D"/>
        <w:sz w:val="16"/>
      </w:rPr>
      <w:t>AFFORDABLE HOUSING ANALYTICS TOOLKIT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2" w:lineRule="auto"/>
    </w:pPr>
    <w:rPr>
      <w:rFonts w:ascii="Aptos" w:hAnsi="Aptos"/>
      <w:color w:val="222222"/>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17365D"/>
      <w:sz w:val="30"/>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ptos" w:hAnsi="Aptos"/>
      <w:b/>
      <w:bCs/>
      <w:color w:val="1F6D7A"/>
      <w:sz w:val="24"/>
      <w:szCs w:val="26"/>
    </w:rPr>
  </w:style>
  <w:style w:type="paragraph" w:styleId="Heading3">
    <w:name w:val="heading 3"/>
    <w:basedOn w:val="Normal"/>
    <w:next w:val="Normal"/>
    <w:link w:val="Heading3Char"/>
    <w:uiPriority w:val="9"/>
    <w:unhideWhenUsed/>
    <w:qFormat/>
    <w:rsid w:val="00FC693F"/>
    <w:pPr>
      <w:keepNext/>
      <w:keepLines/>
      <w:spacing w:before="80" w:after="40"/>
      <w:outlineLvl w:val="2"/>
    </w:pPr>
    <w:rPr>
      <w:rFonts w:asciiTheme="majorHAnsi" w:eastAsiaTheme="majorEastAsia" w:hAnsiTheme="majorHAnsi" w:cstheme="majorBidi" w:ascii="Aptos" w:hAnsi="Aptos"/>
      <w:b/>
      <w:bCs/>
      <w:color w:val="2F75B5"/>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before="0"/>
      <w:contextualSpacing/>
    </w:pPr>
    <w:rPr>
      <w:rFonts w:asciiTheme="majorHAnsi" w:eastAsiaTheme="majorEastAsia" w:hAnsiTheme="majorHAnsi" w:cstheme="majorBidi" w:ascii="Aptos Display" w:hAnsi="Aptos Display"/>
      <w:b/>
      <w:color w:val="17365D"/>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160"/>
    </w:pPr>
    <w:rPr>
      <w:rFonts w:asciiTheme="majorHAnsi" w:eastAsiaTheme="majorEastAsia" w:hAnsiTheme="majorHAnsi" w:cstheme="majorBidi" w:ascii="Aptos" w:hAnsi="Aptos"/>
      <w:b w:val="0"/>
      <w:i/>
      <w:iCs/>
      <w:color w:val="666666"/>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mpactBullet">
    <w:name w:val="Compact Bullet"/>
    <w:basedOn w:val="ListBullet"/>
    <w:pPr>
      <w:spacing w:after="40" w:line="240" w:lineRule="auto"/>
      <w:ind w:left="259" w:hanging="173"/>
    </w:pPr>
    <w:rPr>
      <w:rFonts w:ascii="Aptos" w:hAnsi="Aptos"/>
      <w:sz w:val="19"/>
    </w:rPr>
  </w:style>
  <w:style w:type="paragraph" w:customStyle="1" w:styleId="SmallNote">
    <w:name w:val="Small Note"/>
    <w:pPr>
      <w:spacing w:after="60" w:line="240" w:lineRule="auto"/>
    </w:pPr>
    <w:rPr>
      <w:rFonts w:ascii="Aptos" w:hAnsi="Aptos"/>
      <w:color w:val="666666"/>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census.gov/programs-surveys/acs/news/data-releases/2024.html" TargetMode="External"/><Relationship Id="rId12" Type="http://schemas.openxmlformats.org/officeDocument/2006/relationships/hyperlink" Target="https://www.huduser.gov/portal/datasets/cp.html" TargetMode="External"/><Relationship Id="rId13" Type="http://schemas.openxmlformats.org/officeDocument/2006/relationships/hyperlink" Target="https://www.census.gov/construction/bps/index.html" TargetMode="External"/><Relationship Id="rId14" Type="http://schemas.openxmlformats.org/officeDocument/2006/relationships/hyperlink" Target="https://www.census.gov/programs-surveys/popest.html" TargetMode="External"/><Relationship Id="rId15" Type="http://schemas.openxmlformats.org/officeDocument/2006/relationships/hyperlink" Target="https://nlihc.org/gap" TargetMode="External"/><Relationship Id="rId16" Type="http://schemas.openxmlformats.org/officeDocument/2006/relationships/hyperlink" Target="https://www.census.gov/geographies/mapping-files/time-series/geo/tiger-line-file.2025.html" TargetMode="External"/><Relationship Id="rId17" Type="http://schemas.openxmlformats.org/officeDocument/2006/relationships/hyperlink" Target="https://www.census.gov/data/developers/data-sets/acs-5year/2024.html" TargetMode="External"/><Relationship Id="rId18" Type="http://schemas.openxmlformats.org/officeDocument/2006/relationships/hyperlink" Target="https://www.census.gov/programs-surveys/popest/data/tables.html" TargetMode="External"/><Relationship Id="rId19" Type="http://schemas.openxmlformats.org/officeDocument/2006/relationships/hyperlink" Target="https://www.census.gov/geographies/mapping-files/2025/geo/tiger-line-file.html" TargetMode="External"/><Relationship Id="rId20"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AHIP Housing Analytics Reference Guide</dc:title>
  <dc:subject>Core data sources, KPI definitions, data-quality controls, and local adaptation checks</dc:subject>
  <dc:creator>Arshalouys Awediss</dc:creator>
  <cp:keywords>affordable housing, business intelligence, data analytics, decision support, permitting, public-benefit toolkit</cp:keywords>
  <dc:description>Affordable Housing Intelligence Platform public-benefit toolkit, Version 1.0.</dc:description>
  <cp:lastModifiedBy/>
  <cp:revision>1</cp:revision>
  <dcterms:created xsi:type="dcterms:W3CDTF">2013-12-23T23:15:00Z</dcterms:created>
  <dcterms:modified xsi:type="dcterms:W3CDTF">2013-12-23T23:15:00Z</dcterms:modified>
  <cp:category/>
</cp:coreProperties>
</file>